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FF" w:rsidRDefault="00CF3ACC" w:rsidP="00457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инвестиционного уполномоченного Афанасьевского муниципального округа Кировской области</w:t>
      </w:r>
    </w:p>
    <w:p w:rsidR="00457836" w:rsidRDefault="00457836" w:rsidP="00457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F7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25F71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CF3ACC" w:rsidRDefault="00CF3ACC" w:rsidP="009B0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Инвестиционным уполномоченным Афанасьевского муниципального округа является </w:t>
      </w:r>
      <w:r w:rsidR="00201144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F4230E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округа </w:t>
      </w:r>
      <w:proofErr w:type="spellStart"/>
      <w:r w:rsidR="00F4230E">
        <w:rPr>
          <w:rFonts w:ascii="Times New Roman" w:hAnsi="Times New Roman" w:cs="Times New Roman"/>
          <w:sz w:val="28"/>
          <w:szCs w:val="28"/>
        </w:rPr>
        <w:t>Серое</w:t>
      </w:r>
      <w:r w:rsidR="00CC1A2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4230E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F4230E">
        <w:rPr>
          <w:rFonts w:ascii="Times New Roman" w:hAnsi="Times New Roman" w:cs="Times New Roman"/>
          <w:sz w:val="28"/>
          <w:szCs w:val="28"/>
        </w:rPr>
        <w:t>Ананьевич</w:t>
      </w:r>
      <w:proofErr w:type="spellEnd"/>
      <w:r w:rsidR="00F4230E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Афанасьевского муниципального округа от 12.03.2024 № 129).</w:t>
      </w:r>
    </w:p>
    <w:p w:rsidR="00CC1A26" w:rsidRDefault="00CC1A26" w:rsidP="009B0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инвестиционного уполномоченного размещены на официальном сайте администрации Афанасьевского муниципального округа в разделе «Инвестиционная деятельность» по ссылке: </w:t>
      </w:r>
      <w:hyperlink r:id="rId4" w:history="1">
        <w:r w:rsidRPr="00A71654">
          <w:rPr>
            <w:rStyle w:val="a3"/>
            <w:rFonts w:ascii="Times New Roman" w:hAnsi="Times New Roman" w:cs="Times New Roman"/>
            <w:sz w:val="28"/>
            <w:szCs w:val="28"/>
          </w:rPr>
          <w:t>https://afanasyevo.gosuslugi.ru/deyatelnost/napravleniya-deyatelnosti/ekonomika/investitsionnaya-deyatelnost/</w:t>
        </w:r>
      </w:hyperlink>
    </w:p>
    <w:p w:rsidR="00CC1A26" w:rsidRDefault="00CC1A26" w:rsidP="00807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 инвестиционному уполномоченному и оперативно получить обратную связь можно по телефону: 8(83331) 2-19-52, по электронной почте</w:t>
      </w:r>
      <w:r w:rsidR="004552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552DC" w:rsidRPr="00A71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admAfan</w:t>
        </w:r>
        <w:r w:rsidR="004552DC" w:rsidRPr="00A716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552DC" w:rsidRPr="00A71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kirovreg</w:t>
        </w:r>
        <w:r w:rsidR="004552DC" w:rsidRPr="00A716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52DC" w:rsidRPr="00A71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552DC">
        <w:rPr>
          <w:rFonts w:ascii="Times New Roman" w:hAnsi="Times New Roman" w:cs="Times New Roman"/>
          <w:sz w:val="28"/>
          <w:szCs w:val="28"/>
        </w:rPr>
        <w:t xml:space="preserve">, направить письменное </w:t>
      </w:r>
      <w:r w:rsidR="00DA107D">
        <w:rPr>
          <w:rFonts w:ascii="Times New Roman" w:hAnsi="Times New Roman" w:cs="Times New Roman"/>
          <w:sz w:val="28"/>
          <w:szCs w:val="28"/>
        </w:rPr>
        <w:t>о</w:t>
      </w:r>
      <w:r w:rsidR="004552DC">
        <w:rPr>
          <w:rFonts w:ascii="Times New Roman" w:hAnsi="Times New Roman" w:cs="Times New Roman"/>
          <w:sz w:val="28"/>
          <w:szCs w:val="28"/>
        </w:rPr>
        <w:t>б</w:t>
      </w:r>
      <w:r w:rsidR="00DA107D">
        <w:rPr>
          <w:rFonts w:ascii="Times New Roman" w:hAnsi="Times New Roman" w:cs="Times New Roman"/>
          <w:sz w:val="28"/>
          <w:szCs w:val="28"/>
        </w:rPr>
        <w:t>ра</w:t>
      </w:r>
      <w:r w:rsidR="004552DC">
        <w:rPr>
          <w:rFonts w:ascii="Times New Roman" w:hAnsi="Times New Roman" w:cs="Times New Roman"/>
          <w:sz w:val="28"/>
          <w:szCs w:val="28"/>
        </w:rPr>
        <w:t xml:space="preserve">щение по адресу: 613060, </w:t>
      </w:r>
      <w:proofErr w:type="spellStart"/>
      <w:r w:rsidR="004552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552DC">
        <w:rPr>
          <w:rFonts w:ascii="Times New Roman" w:hAnsi="Times New Roman" w:cs="Times New Roman"/>
          <w:sz w:val="28"/>
          <w:szCs w:val="28"/>
        </w:rPr>
        <w:t xml:space="preserve"> Афанасьево, ул. Красных Партизан, д. 5</w:t>
      </w:r>
      <w:r w:rsidR="00046B0E">
        <w:rPr>
          <w:rFonts w:ascii="Times New Roman" w:hAnsi="Times New Roman" w:cs="Times New Roman"/>
          <w:sz w:val="28"/>
          <w:szCs w:val="28"/>
        </w:rPr>
        <w:t>.</w:t>
      </w:r>
    </w:p>
    <w:p w:rsidR="00046B0E" w:rsidRPr="00046B0E" w:rsidRDefault="00046B0E" w:rsidP="00807BFE">
      <w:pPr>
        <w:pStyle w:val="6"/>
        <w:shd w:val="clear" w:color="auto" w:fill="auto"/>
        <w:spacing w:after="0" w:line="317" w:lineRule="exact"/>
        <w:ind w:left="20" w:right="20" w:firstLine="800"/>
        <w:jc w:val="both"/>
        <w:rPr>
          <w:sz w:val="28"/>
          <w:szCs w:val="28"/>
        </w:rPr>
      </w:pPr>
      <w:r w:rsidRPr="00046B0E">
        <w:rPr>
          <w:rStyle w:val="1"/>
          <w:sz w:val="28"/>
          <w:szCs w:val="28"/>
        </w:rPr>
        <w:t xml:space="preserve">Работа инвестиционного уполномоченного в </w:t>
      </w:r>
      <w:r>
        <w:rPr>
          <w:rStyle w:val="1"/>
          <w:sz w:val="28"/>
          <w:szCs w:val="28"/>
        </w:rPr>
        <w:t>Афанасьевском муниципальном округе</w:t>
      </w:r>
      <w:r w:rsidRPr="00046B0E">
        <w:rPr>
          <w:rStyle w:val="1"/>
          <w:sz w:val="28"/>
          <w:szCs w:val="28"/>
        </w:rPr>
        <w:t xml:space="preserve"> направлена на комплексное решение экономических, социальных, инфраструктурных задач, разви</w:t>
      </w:r>
      <w:r>
        <w:rPr>
          <w:rStyle w:val="1"/>
          <w:sz w:val="28"/>
          <w:szCs w:val="28"/>
        </w:rPr>
        <w:t>тие инвестиционной деятельности</w:t>
      </w:r>
      <w:r w:rsidRPr="00046B0E">
        <w:rPr>
          <w:rStyle w:val="1"/>
          <w:sz w:val="28"/>
          <w:szCs w:val="28"/>
        </w:rPr>
        <w:t>, улучшение инвестиционной привлекательности территории округа.</w:t>
      </w:r>
    </w:p>
    <w:p w:rsidR="00046B0E" w:rsidRPr="00046B0E" w:rsidRDefault="00046B0E" w:rsidP="00046B0E">
      <w:pPr>
        <w:pStyle w:val="6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046B0E">
        <w:rPr>
          <w:rStyle w:val="1"/>
          <w:sz w:val="28"/>
          <w:szCs w:val="28"/>
        </w:rPr>
        <w:t xml:space="preserve">Одним из приоритетных направлений деятельности инвестиционного уполномоченного является привлечение инвестиций в экономику </w:t>
      </w:r>
      <w:r>
        <w:rPr>
          <w:rStyle w:val="1"/>
          <w:sz w:val="28"/>
          <w:szCs w:val="28"/>
        </w:rPr>
        <w:t>округа</w:t>
      </w:r>
      <w:r w:rsidRPr="00046B0E">
        <w:rPr>
          <w:rStyle w:val="1"/>
          <w:sz w:val="28"/>
          <w:szCs w:val="28"/>
        </w:rPr>
        <w:t>, создание условий для развития бизнеса, обеспечения занятости населения, создание рабочих мест.</w:t>
      </w:r>
    </w:p>
    <w:p w:rsidR="00046B0E" w:rsidRPr="00046B0E" w:rsidRDefault="00046B0E" w:rsidP="00046B0E">
      <w:pPr>
        <w:pStyle w:val="6"/>
        <w:shd w:val="clear" w:color="auto" w:fill="auto"/>
        <w:spacing w:after="0" w:line="317" w:lineRule="exact"/>
        <w:ind w:left="20" w:right="20" w:firstLine="800"/>
        <w:jc w:val="both"/>
        <w:rPr>
          <w:sz w:val="28"/>
          <w:szCs w:val="28"/>
        </w:rPr>
      </w:pPr>
      <w:r w:rsidRPr="00046B0E">
        <w:rPr>
          <w:rStyle w:val="1"/>
          <w:sz w:val="28"/>
          <w:szCs w:val="28"/>
        </w:rPr>
        <w:t xml:space="preserve">Инвестиционная политика является </w:t>
      </w:r>
      <w:r w:rsidRPr="00046B0E">
        <w:rPr>
          <w:rStyle w:val="0pt"/>
          <w:b w:val="0"/>
          <w:sz w:val="28"/>
          <w:szCs w:val="28"/>
        </w:rPr>
        <w:t>составной</w:t>
      </w:r>
      <w:r>
        <w:rPr>
          <w:rStyle w:val="0pt"/>
          <w:b w:val="0"/>
          <w:sz w:val="28"/>
          <w:szCs w:val="28"/>
        </w:rPr>
        <w:t xml:space="preserve"> </w:t>
      </w:r>
      <w:r w:rsidRPr="00046B0E">
        <w:rPr>
          <w:rStyle w:val="1"/>
          <w:sz w:val="28"/>
          <w:szCs w:val="28"/>
        </w:rPr>
        <w:t xml:space="preserve">частью экономической политики округа, поэтому большое значение уделяется популяризации инвестиционной деятельности. Для обеспечения доступности информации для потенциальных инвесторов об инвестиционной привлекательности </w:t>
      </w:r>
      <w:r>
        <w:rPr>
          <w:rStyle w:val="1"/>
          <w:sz w:val="28"/>
          <w:szCs w:val="28"/>
        </w:rPr>
        <w:t>округа на официальном сайте администрации Афанасьевского муниципального округа</w:t>
      </w:r>
      <w:r w:rsidRPr="00046B0E">
        <w:rPr>
          <w:rStyle w:val="1"/>
          <w:sz w:val="28"/>
          <w:szCs w:val="28"/>
        </w:rPr>
        <w:t xml:space="preserve"> функционирует раздел «Инвест</w:t>
      </w:r>
      <w:r>
        <w:rPr>
          <w:rStyle w:val="1"/>
          <w:sz w:val="28"/>
          <w:szCs w:val="28"/>
        </w:rPr>
        <w:t>иционная деятельность</w:t>
      </w:r>
      <w:r w:rsidRPr="00046B0E">
        <w:rPr>
          <w:rStyle w:val="1"/>
          <w:sz w:val="28"/>
          <w:szCs w:val="28"/>
        </w:rPr>
        <w:t>». На постоянной основе информация, размещаемая в данном разделе, актуализируется. В разделе размещена информация об инвестиционных возможностях округа,</w:t>
      </w:r>
      <w:r w:rsidR="00DA107D">
        <w:rPr>
          <w:rStyle w:val="1"/>
          <w:sz w:val="28"/>
          <w:szCs w:val="28"/>
        </w:rPr>
        <w:t xml:space="preserve"> инвестиционный профиль округа,</w:t>
      </w:r>
      <w:r w:rsidRPr="00046B0E">
        <w:rPr>
          <w:rStyle w:val="1"/>
          <w:sz w:val="28"/>
          <w:szCs w:val="28"/>
        </w:rPr>
        <w:t xml:space="preserve"> описание инвестиционных площадок, нормативные документы по инвестиционной </w:t>
      </w:r>
      <w:r w:rsidRPr="00046B0E">
        <w:rPr>
          <w:rStyle w:val="2"/>
          <w:sz w:val="28"/>
          <w:szCs w:val="28"/>
        </w:rPr>
        <w:t xml:space="preserve">деятельности, инвестиционные </w:t>
      </w:r>
      <w:r w:rsidRPr="00046B0E">
        <w:rPr>
          <w:rStyle w:val="1"/>
          <w:sz w:val="28"/>
          <w:szCs w:val="28"/>
        </w:rPr>
        <w:t>проекты и др.</w:t>
      </w:r>
    </w:p>
    <w:p w:rsidR="00C72A68" w:rsidRDefault="00046B0E" w:rsidP="004A33E8">
      <w:pPr>
        <w:pStyle w:val="6"/>
        <w:shd w:val="clear" w:color="auto" w:fill="auto"/>
        <w:tabs>
          <w:tab w:val="left" w:pos="4978"/>
        </w:tabs>
        <w:spacing w:after="0" w:line="317" w:lineRule="exact"/>
        <w:ind w:left="20" w:right="-1" w:firstLine="689"/>
        <w:jc w:val="both"/>
        <w:rPr>
          <w:rStyle w:val="1"/>
          <w:sz w:val="28"/>
          <w:szCs w:val="28"/>
        </w:rPr>
      </w:pPr>
      <w:r w:rsidRPr="00046B0E">
        <w:rPr>
          <w:rStyle w:val="4"/>
          <w:sz w:val="28"/>
          <w:szCs w:val="28"/>
        </w:rPr>
        <w:t xml:space="preserve">Для </w:t>
      </w:r>
      <w:r w:rsidRPr="00046B0E">
        <w:rPr>
          <w:rStyle w:val="2"/>
          <w:sz w:val="28"/>
          <w:szCs w:val="28"/>
        </w:rPr>
        <w:t xml:space="preserve">привлечения инвестиций </w:t>
      </w:r>
      <w:r w:rsidRPr="00046B0E">
        <w:rPr>
          <w:rStyle w:val="1"/>
          <w:sz w:val="28"/>
          <w:szCs w:val="28"/>
        </w:rPr>
        <w:t xml:space="preserve">на территорию </w:t>
      </w:r>
      <w:r>
        <w:rPr>
          <w:rStyle w:val="1"/>
          <w:sz w:val="28"/>
          <w:szCs w:val="28"/>
        </w:rPr>
        <w:t>Афанасьевского муниципального округа</w:t>
      </w:r>
      <w:r w:rsidRPr="00046B0E">
        <w:rPr>
          <w:rStyle w:val="4"/>
          <w:sz w:val="28"/>
          <w:szCs w:val="28"/>
        </w:rPr>
        <w:t xml:space="preserve"> разработан </w:t>
      </w:r>
      <w:r w:rsidRPr="00046B0E">
        <w:rPr>
          <w:rStyle w:val="2"/>
          <w:sz w:val="28"/>
          <w:szCs w:val="28"/>
        </w:rPr>
        <w:t xml:space="preserve">и ежегодно актуализируется Инвестиционный </w:t>
      </w:r>
      <w:r w:rsidR="00C72A68">
        <w:rPr>
          <w:rStyle w:val="1"/>
          <w:sz w:val="28"/>
          <w:szCs w:val="28"/>
        </w:rPr>
        <w:t xml:space="preserve">профиль </w:t>
      </w:r>
      <w:r w:rsidR="00C72A68" w:rsidRPr="00C72A68">
        <w:rPr>
          <w:rStyle w:val="1"/>
          <w:sz w:val="28"/>
          <w:szCs w:val="28"/>
        </w:rPr>
        <w:t xml:space="preserve">территории </w:t>
      </w:r>
      <w:r w:rsidR="00C72A68">
        <w:rPr>
          <w:rStyle w:val="1"/>
          <w:sz w:val="28"/>
          <w:szCs w:val="28"/>
        </w:rPr>
        <w:t xml:space="preserve">Афанасьевского муниципального </w:t>
      </w:r>
      <w:r w:rsidR="00C72A68" w:rsidRPr="00C72A68">
        <w:rPr>
          <w:rStyle w:val="1"/>
          <w:sz w:val="28"/>
          <w:szCs w:val="28"/>
        </w:rPr>
        <w:t xml:space="preserve">округа. Инвестиционный </w:t>
      </w:r>
      <w:r w:rsidR="00C72A68">
        <w:rPr>
          <w:rStyle w:val="1"/>
          <w:sz w:val="28"/>
          <w:szCs w:val="28"/>
        </w:rPr>
        <w:t>профиль</w:t>
      </w:r>
      <w:r w:rsidR="00C72A68" w:rsidRPr="00C72A68">
        <w:rPr>
          <w:rStyle w:val="1"/>
          <w:sz w:val="28"/>
          <w:szCs w:val="28"/>
        </w:rPr>
        <w:t xml:space="preserve"> содержит краткую характеристику округа, численность населения, информацию о трудовых ресурсах, о состоянии транспортной, производственной, энергетической инфраструктуры, основные направления инвестиционной политики округа.</w:t>
      </w:r>
    </w:p>
    <w:p w:rsidR="00065ACF" w:rsidRPr="00C72A68" w:rsidRDefault="00065ACF" w:rsidP="004A33E8">
      <w:pPr>
        <w:pStyle w:val="6"/>
        <w:shd w:val="clear" w:color="auto" w:fill="auto"/>
        <w:tabs>
          <w:tab w:val="left" w:pos="4978"/>
        </w:tabs>
        <w:spacing w:after="0" w:line="317" w:lineRule="exact"/>
        <w:ind w:left="20" w:right="-1" w:firstLine="68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Администрация</w:t>
      </w:r>
      <w:r w:rsidR="00DA107D">
        <w:rPr>
          <w:rStyle w:val="1"/>
          <w:sz w:val="28"/>
          <w:szCs w:val="28"/>
        </w:rPr>
        <w:t xml:space="preserve"> округа</w:t>
      </w:r>
      <w:r>
        <w:rPr>
          <w:rStyle w:val="1"/>
          <w:sz w:val="28"/>
          <w:szCs w:val="28"/>
        </w:rPr>
        <w:t xml:space="preserve"> открыта к сотрудничеству со всеми </w:t>
      </w:r>
      <w:r>
        <w:rPr>
          <w:rStyle w:val="1"/>
          <w:sz w:val="28"/>
          <w:szCs w:val="28"/>
        </w:rPr>
        <w:lastRenderedPageBreak/>
        <w:t>категориями бизнеса по земельным вопросам и вопросам аренды и продажи муниципального имущества.</w:t>
      </w:r>
    </w:p>
    <w:p w:rsidR="00C72A68" w:rsidRPr="00C72A68" w:rsidRDefault="00C72A68" w:rsidP="007B5A12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C72A68">
        <w:rPr>
          <w:rStyle w:val="1"/>
          <w:sz w:val="28"/>
          <w:szCs w:val="28"/>
        </w:rPr>
        <w:t xml:space="preserve">В целях улучшения позиций </w:t>
      </w:r>
      <w:r>
        <w:rPr>
          <w:rStyle w:val="1"/>
          <w:sz w:val="28"/>
          <w:szCs w:val="28"/>
        </w:rPr>
        <w:t>Афанасьевского муниципального</w:t>
      </w:r>
      <w:r w:rsidRPr="00C72A68">
        <w:rPr>
          <w:rStyle w:val="1"/>
          <w:sz w:val="28"/>
          <w:szCs w:val="28"/>
        </w:rPr>
        <w:t xml:space="preserve"> округа в Рейтинге содействия развитию конкуренции и обеспечения условий для благоприятного инвестиционного климата в муниципальных образованиях, расположенных на территории </w:t>
      </w:r>
      <w:r w:rsidR="00A01C1F">
        <w:rPr>
          <w:rStyle w:val="1"/>
          <w:sz w:val="28"/>
          <w:szCs w:val="28"/>
        </w:rPr>
        <w:t>Кировской области</w:t>
      </w:r>
      <w:r w:rsidRPr="00C72A68">
        <w:rPr>
          <w:rStyle w:val="1"/>
          <w:sz w:val="28"/>
          <w:szCs w:val="28"/>
        </w:rPr>
        <w:t xml:space="preserve">, </w:t>
      </w:r>
      <w:r w:rsidR="00A01C1F">
        <w:rPr>
          <w:rStyle w:val="1"/>
          <w:sz w:val="28"/>
          <w:szCs w:val="28"/>
        </w:rPr>
        <w:t>распоряжением губернатора Кировской области</w:t>
      </w:r>
      <w:r w:rsidRPr="00C72A68">
        <w:rPr>
          <w:rStyle w:val="1"/>
          <w:sz w:val="28"/>
          <w:szCs w:val="28"/>
        </w:rPr>
        <w:t xml:space="preserve"> от </w:t>
      </w:r>
      <w:r w:rsidR="00A01C1F">
        <w:rPr>
          <w:rStyle w:val="1"/>
          <w:sz w:val="28"/>
          <w:szCs w:val="28"/>
        </w:rPr>
        <w:t>27</w:t>
      </w:r>
      <w:r w:rsidRPr="00C72A68">
        <w:rPr>
          <w:rStyle w:val="1"/>
          <w:sz w:val="28"/>
          <w:szCs w:val="28"/>
        </w:rPr>
        <w:t>.0</w:t>
      </w:r>
      <w:r w:rsidR="00A01C1F">
        <w:rPr>
          <w:rStyle w:val="1"/>
          <w:sz w:val="28"/>
          <w:szCs w:val="28"/>
        </w:rPr>
        <w:t>4</w:t>
      </w:r>
      <w:r w:rsidRPr="00C72A68">
        <w:rPr>
          <w:rStyle w:val="1"/>
          <w:sz w:val="28"/>
          <w:szCs w:val="28"/>
        </w:rPr>
        <w:t>.202</w:t>
      </w:r>
      <w:r w:rsidR="00A01C1F">
        <w:rPr>
          <w:rStyle w:val="1"/>
          <w:sz w:val="28"/>
          <w:szCs w:val="28"/>
        </w:rPr>
        <w:t>0</w:t>
      </w:r>
      <w:r w:rsidRPr="00C72A68">
        <w:rPr>
          <w:rStyle w:val="1"/>
          <w:sz w:val="28"/>
          <w:szCs w:val="28"/>
        </w:rPr>
        <w:t xml:space="preserve"> № </w:t>
      </w:r>
      <w:r w:rsidR="00A01C1F">
        <w:rPr>
          <w:rStyle w:val="1"/>
          <w:sz w:val="28"/>
          <w:szCs w:val="28"/>
        </w:rPr>
        <w:t>41</w:t>
      </w:r>
      <w:r w:rsidRPr="00C72A68">
        <w:rPr>
          <w:rStyle w:val="1"/>
          <w:sz w:val="28"/>
          <w:szCs w:val="28"/>
        </w:rPr>
        <w:t xml:space="preserve">, утвержден </w:t>
      </w:r>
      <w:r w:rsidR="00A01C1F" w:rsidRPr="00A01C1F">
        <w:rPr>
          <w:rStyle w:val="1"/>
          <w:sz w:val="28"/>
          <w:szCs w:val="28"/>
        </w:rPr>
        <w:t>переч</w:t>
      </w:r>
      <w:r w:rsidR="00A01C1F">
        <w:rPr>
          <w:rStyle w:val="1"/>
          <w:sz w:val="28"/>
          <w:szCs w:val="28"/>
        </w:rPr>
        <w:t>ень</w:t>
      </w:r>
      <w:r w:rsidR="00A01C1F" w:rsidRPr="00A01C1F">
        <w:rPr>
          <w:rStyle w:val="1"/>
          <w:sz w:val="28"/>
          <w:szCs w:val="28"/>
        </w:rPr>
        <w:t xml:space="preserve"> товарных рынков для содействия</w:t>
      </w:r>
      <w:r w:rsidR="007B5A12">
        <w:rPr>
          <w:rStyle w:val="1"/>
          <w:sz w:val="28"/>
          <w:szCs w:val="28"/>
        </w:rPr>
        <w:t xml:space="preserve"> </w:t>
      </w:r>
      <w:r w:rsidR="00A01C1F" w:rsidRPr="00A01C1F">
        <w:rPr>
          <w:rStyle w:val="1"/>
          <w:sz w:val="28"/>
          <w:szCs w:val="28"/>
        </w:rPr>
        <w:t xml:space="preserve">развитию конкуренции в </w:t>
      </w:r>
      <w:r w:rsidR="00A01C1F">
        <w:rPr>
          <w:rStyle w:val="1"/>
          <w:sz w:val="28"/>
          <w:szCs w:val="28"/>
        </w:rPr>
        <w:t>К</w:t>
      </w:r>
      <w:r w:rsidR="00A01C1F" w:rsidRPr="00A01C1F">
        <w:rPr>
          <w:rStyle w:val="1"/>
          <w:sz w:val="28"/>
          <w:szCs w:val="28"/>
        </w:rPr>
        <w:t>ировской области и плана мероприятий</w:t>
      </w:r>
      <w:r w:rsidR="00A01C1F">
        <w:rPr>
          <w:rStyle w:val="1"/>
          <w:sz w:val="28"/>
          <w:szCs w:val="28"/>
        </w:rPr>
        <w:t xml:space="preserve"> </w:t>
      </w:r>
      <w:r w:rsidR="00A01C1F" w:rsidRPr="00A01C1F">
        <w:rPr>
          <w:rStyle w:val="1"/>
          <w:sz w:val="28"/>
          <w:szCs w:val="28"/>
        </w:rPr>
        <w:t>("дорожной карты") по содействию развитию конкуренции</w:t>
      </w:r>
      <w:r w:rsidR="00A01C1F">
        <w:rPr>
          <w:rStyle w:val="1"/>
          <w:sz w:val="28"/>
          <w:szCs w:val="28"/>
        </w:rPr>
        <w:t xml:space="preserve"> </w:t>
      </w:r>
      <w:r w:rsidR="00A01C1F" w:rsidRPr="00A01C1F">
        <w:rPr>
          <w:rStyle w:val="1"/>
          <w:sz w:val="28"/>
          <w:szCs w:val="28"/>
        </w:rPr>
        <w:t xml:space="preserve">в </w:t>
      </w:r>
      <w:r w:rsidR="00A01C1F">
        <w:rPr>
          <w:rStyle w:val="1"/>
          <w:sz w:val="28"/>
          <w:szCs w:val="28"/>
        </w:rPr>
        <w:t>К</w:t>
      </w:r>
      <w:r w:rsidR="00A01C1F" w:rsidRPr="00A01C1F">
        <w:rPr>
          <w:rStyle w:val="1"/>
          <w:sz w:val="28"/>
          <w:szCs w:val="28"/>
        </w:rPr>
        <w:t>ировской области на период до 2025 года (включительно)</w:t>
      </w:r>
      <w:r w:rsidR="00A01C1F">
        <w:rPr>
          <w:rStyle w:val="1"/>
          <w:sz w:val="28"/>
          <w:szCs w:val="28"/>
        </w:rPr>
        <w:t>.</w:t>
      </w:r>
    </w:p>
    <w:p w:rsidR="00C72A68" w:rsidRPr="00C72A68" w:rsidRDefault="00C72A68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C72A68">
        <w:rPr>
          <w:rStyle w:val="1"/>
          <w:sz w:val="28"/>
          <w:szCs w:val="28"/>
        </w:rPr>
        <w:t xml:space="preserve">Отчеты о выполнении Плана мероприятий «дорожной карты» в соответствии с установленными сроками направляются в Министерство </w:t>
      </w:r>
      <w:r w:rsidR="00A01C1F">
        <w:rPr>
          <w:rStyle w:val="1"/>
          <w:sz w:val="28"/>
          <w:szCs w:val="28"/>
        </w:rPr>
        <w:t>экономического развития Кировской области</w:t>
      </w:r>
      <w:r w:rsidRPr="00C72A68">
        <w:rPr>
          <w:rStyle w:val="1"/>
          <w:sz w:val="28"/>
          <w:szCs w:val="28"/>
        </w:rPr>
        <w:t xml:space="preserve">. План мероприятий «дорожная карта» размещен на официальном сайте </w:t>
      </w:r>
      <w:r w:rsidR="00A01C1F">
        <w:rPr>
          <w:rStyle w:val="1"/>
          <w:sz w:val="28"/>
          <w:szCs w:val="28"/>
        </w:rPr>
        <w:t>администрации Афанасьевского муниципального округа</w:t>
      </w:r>
      <w:r w:rsidRPr="00C72A68">
        <w:rPr>
          <w:rStyle w:val="1"/>
          <w:sz w:val="28"/>
          <w:szCs w:val="28"/>
        </w:rPr>
        <w:t xml:space="preserve"> по ссылке:</w:t>
      </w:r>
      <w:r w:rsidR="00A01C1F">
        <w:rPr>
          <w:rStyle w:val="1"/>
          <w:sz w:val="28"/>
          <w:szCs w:val="28"/>
        </w:rPr>
        <w:t xml:space="preserve"> </w:t>
      </w:r>
      <w:hyperlink r:id="rId6" w:history="1">
        <w:r w:rsidR="00A01C1F" w:rsidRPr="00A71654">
          <w:rPr>
            <w:rStyle w:val="a3"/>
            <w:sz w:val="28"/>
            <w:szCs w:val="28"/>
            <w:shd w:val="clear" w:color="auto" w:fill="FFFFFF"/>
          </w:rPr>
          <w:t>https://afanasyevo.gosuslugi.ru/deyatelnost/napravleniya-deyatelnosti/ekonomika/razvitie-konkurentsii/</w:t>
        </w:r>
      </w:hyperlink>
      <w:r w:rsidR="00A01C1F">
        <w:rPr>
          <w:rStyle w:val="1"/>
          <w:sz w:val="28"/>
          <w:szCs w:val="28"/>
        </w:rPr>
        <w:t xml:space="preserve">. </w:t>
      </w:r>
    </w:p>
    <w:p w:rsidR="00C72A68" w:rsidRDefault="00C72A68" w:rsidP="004A33E8">
      <w:pPr>
        <w:pStyle w:val="6"/>
        <w:shd w:val="clear" w:color="auto" w:fill="auto"/>
        <w:spacing w:after="0" w:line="317" w:lineRule="exact"/>
        <w:ind w:left="20" w:right="-1" w:firstLine="689"/>
        <w:jc w:val="both"/>
        <w:rPr>
          <w:rStyle w:val="11pt"/>
          <w:sz w:val="28"/>
          <w:szCs w:val="28"/>
          <w:lang w:val="ru-RU"/>
        </w:rPr>
      </w:pPr>
      <w:r w:rsidRPr="00C72A68">
        <w:rPr>
          <w:rStyle w:val="1"/>
          <w:sz w:val="28"/>
          <w:szCs w:val="28"/>
        </w:rPr>
        <w:t>В целях улучшения конкурентной среды на сайте</w:t>
      </w:r>
      <w:r w:rsidR="00575D4D">
        <w:rPr>
          <w:rStyle w:val="1"/>
          <w:sz w:val="28"/>
          <w:szCs w:val="28"/>
        </w:rPr>
        <w:t xml:space="preserve"> администрации Афанасьевского муниципального</w:t>
      </w:r>
      <w:r w:rsidRPr="00C72A68">
        <w:rPr>
          <w:rStyle w:val="1"/>
          <w:sz w:val="28"/>
          <w:szCs w:val="28"/>
        </w:rPr>
        <w:t xml:space="preserve"> округа создан раздел «</w:t>
      </w:r>
      <w:r w:rsidR="00575D4D">
        <w:rPr>
          <w:rStyle w:val="1"/>
          <w:sz w:val="28"/>
          <w:szCs w:val="28"/>
        </w:rPr>
        <w:t>Р</w:t>
      </w:r>
      <w:r w:rsidRPr="00C72A68">
        <w:rPr>
          <w:rStyle w:val="1"/>
          <w:sz w:val="28"/>
          <w:szCs w:val="28"/>
        </w:rPr>
        <w:t>азвити</w:t>
      </w:r>
      <w:r w:rsidR="00575D4D">
        <w:rPr>
          <w:rStyle w:val="1"/>
          <w:sz w:val="28"/>
          <w:szCs w:val="28"/>
        </w:rPr>
        <w:t>е</w:t>
      </w:r>
      <w:r w:rsidRPr="00C72A68">
        <w:rPr>
          <w:rStyle w:val="1"/>
          <w:sz w:val="28"/>
          <w:szCs w:val="28"/>
        </w:rPr>
        <w:t xml:space="preserve"> конкуренции» (</w:t>
      </w:r>
      <w:hyperlink r:id="rId7" w:history="1">
        <w:r w:rsidR="00575D4D" w:rsidRPr="00A71654">
          <w:rPr>
            <w:rStyle w:val="a3"/>
            <w:sz w:val="28"/>
            <w:szCs w:val="28"/>
          </w:rPr>
          <w:t>https://afanasyevo.gosuslugi.ru/deyatelnost/napravleniya-deyatelnosti/ekonomika/razvitie-konkurentsii</w:t>
        </w:r>
      </w:hyperlink>
      <w:r w:rsidRPr="00C72A68">
        <w:rPr>
          <w:rStyle w:val="1"/>
          <w:sz w:val="28"/>
          <w:szCs w:val="28"/>
        </w:rPr>
        <w:t xml:space="preserve">). В данном разделе размещена информация, нормативные документы по развитию конкуренции, отчеты по исполнению плана мероприятий («дорожной карты») по содействию развитию конкуренции. На постоянной основе проводится мониторинг наличия (отсутствия) административных барьеров и оценки состояния конкурентной среды субъектами предпринимательской деятельности </w:t>
      </w:r>
      <w:r w:rsidR="00575D4D">
        <w:rPr>
          <w:rStyle w:val="1"/>
          <w:sz w:val="28"/>
          <w:szCs w:val="28"/>
        </w:rPr>
        <w:t>Афанасьевского муниципального округа</w:t>
      </w:r>
      <w:r w:rsidRPr="00C72A68">
        <w:rPr>
          <w:rStyle w:val="1"/>
          <w:sz w:val="28"/>
          <w:szCs w:val="28"/>
        </w:rPr>
        <w:t xml:space="preserve">. Итоговая информация </w:t>
      </w:r>
      <w:r w:rsidRPr="00C72A68">
        <w:rPr>
          <w:rStyle w:val="2"/>
          <w:sz w:val="28"/>
          <w:szCs w:val="28"/>
        </w:rPr>
        <w:t xml:space="preserve">о </w:t>
      </w:r>
      <w:r w:rsidRPr="00C72A68">
        <w:rPr>
          <w:rStyle w:val="1"/>
          <w:sz w:val="28"/>
          <w:szCs w:val="28"/>
        </w:rPr>
        <w:t xml:space="preserve">результатах мониторинга размещена на сайте </w:t>
      </w:r>
      <w:r w:rsidR="00575D4D">
        <w:rPr>
          <w:rStyle w:val="1"/>
          <w:sz w:val="28"/>
          <w:szCs w:val="28"/>
        </w:rPr>
        <w:t>администрации Афанасьевского муниципального</w:t>
      </w:r>
      <w:r w:rsidRPr="00C72A68">
        <w:rPr>
          <w:rStyle w:val="1"/>
          <w:sz w:val="28"/>
          <w:szCs w:val="28"/>
        </w:rPr>
        <w:t xml:space="preserve"> округа в разделе </w:t>
      </w:r>
      <w:r w:rsidR="007F3F3D">
        <w:rPr>
          <w:rStyle w:val="1"/>
          <w:sz w:val="28"/>
          <w:szCs w:val="28"/>
        </w:rPr>
        <w:t>«Развитие конкуренции»</w:t>
      </w:r>
      <w:r w:rsidRPr="00C72A68">
        <w:rPr>
          <w:rStyle w:val="11pt"/>
          <w:sz w:val="28"/>
          <w:szCs w:val="28"/>
          <w:lang w:val="ru-RU"/>
        </w:rPr>
        <w:t>.</w:t>
      </w:r>
    </w:p>
    <w:p w:rsidR="00AD2361" w:rsidRPr="00C72A68" w:rsidRDefault="00AD2361" w:rsidP="00AD2361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2020 года</w:t>
      </w:r>
      <w:r w:rsidRPr="004E018E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Афанасьевский муниципальный округ</w:t>
      </w:r>
      <w:r w:rsidRPr="004E018E">
        <w:rPr>
          <w:sz w:val="28"/>
          <w:szCs w:val="28"/>
        </w:rPr>
        <w:t xml:space="preserve"> участвует в формировании рейтинга</w:t>
      </w:r>
      <w:r>
        <w:rPr>
          <w:sz w:val="28"/>
          <w:szCs w:val="28"/>
        </w:rPr>
        <w:t xml:space="preserve"> по </w:t>
      </w:r>
      <w:r w:rsidRPr="004E018E">
        <w:rPr>
          <w:sz w:val="28"/>
          <w:szCs w:val="28"/>
        </w:rPr>
        <w:t>содействи</w:t>
      </w:r>
      <w:r>
        <w:rPr>
          <w:sz w:val="28"/>
          <w:szCs w:val="28"/>
        </w:rPr>
        <w:t>ю</w:t>
      </w:r>
      <w:r w:rsidRPr="004E018E">
        <w:rPr>
          <w:sz w:val="28"/>
          <w:szCs w:val="28"/>
        </w:rPr>
        <w:t xml:space="preserve"> развитию конкуренции и обеспечени</w:t>
      </w:r>
      <w:r>
        <w:rPr>
          <w:sz w:val="28"/>
          <w:szCs w:val="28"/>
        </w:rPr>
        <w:t>ю</w:t>
      </w:r>
      <w:r w:rsidRPr="004E018E">
        <w:rPr>
          <w:sz w:val="28"/>
          <w:szCs w:val="28"/>
        </w:rPr>
        <w:t xml:space="preserve"> условий для благоприятного инвестиционного климата</w:t>
      </w:r>
      <w:r>
        <w:rPr>
          <w:sz w:val="28"/>
          <w:szCs w:val="28"/>
        </w:rPr>
        <w:t xml:space="preserve"> в</w:t>
      </w:r>
      <w:r w:rsidRPr="004E018E">
        <w:rPr>
          <w:sz w:val="28"/>
          <w:szCs w:val="28"/>
        </w:rPr>
        <w:t xml:space="preserve"> муниципальных образовани</w:t>
      </w:r>
      <w:r>
        <w:rPr>
          <w:sz w:val="28"/>
          <w:szCs w:val="28"/>
        </w:rPr>
        <w:t>ях Кировской области и находится в первой пятерке рейтинга.</w:t>
      </w:r>
    </w:p>
    <w:p w:rsidR="00C72A68" w:rsidRDefault="00C72A68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rStyle w:val="1"/>
          <w:sz w:val="28"/>
          <w:szCs w:val="28"/>
        </w:rPr>
      </w:pPr>
      <w:r w:rsidRPr="00C72A68">
        <w:rPr>
          <w:rStyle w:val="1"/>
          <w:sz w:val="28"/>
          <w:szCs w:val="28"/>
        </w:rPr>
        <w:t>В</w:t>
      </w:r>
      <w:r w:rsidR="001B21D4">
        <w:rPr>
          <w:rStyle w:val="1"/>
          <w:sz w:val="28"/>
          <w:szCs w:val="28"/>
        </w:rPr>
        <w:t xml:space="preserve"> </w:t>
      </w:r>
      <w:r w:rsidRPr="00C72A68">
        <w:rPr>
          <w:rStyle w:val="1"/>
          <w:sz w:val="28"/>
          <w:szCs w:val="28"/>
        </w:rPr>
        <w:t>202</w:t>
      </w:r>
      <w:r w:rsidR="001B21D4">
        <w:rPr>
          <w:rStyle w:val="1"/>
          <w:sz w:val="28"/>
          <w:szCs w:val="28"/>
        </w:rPr>
        <w:t>4 году</w:t>
      </w:r>
      <w:r w:rsidRPr="00C72A68">
        <w:rPr>
          <w:rStyle w:val="1"/>
          <w:sz w:val="28"/>
          <w:szCs w:val="28"/>
        </w:rPr>
        <w:t xml:space="preserve"> </w:t>
      </w:r>
      <w:r w:rsidR="001B21D4">
        <w:rPr>
          <w:rStyle w:val="1"/>
          <w:sz w:val="28"/>
          <w:szCs w:val="28"/>
        </w:rPr>
        <w:t>разработан и утвержден</w:t>
      </w:r>
      <w:r w:rsidRPr="00C72A68">
        <w:rPr>
          <w:rStyle w:val="1"/>
          <w:sz w:val="28"/>
          <w:szCs w:val="28"/>
        </w:rPr>
        <w:t xml:space="preserve"> Регламент сопровождения инвестиционных </w:t>
      </w:r>
      <w:r w:rsidR="001B21D4">
        <w:rPr>
          <w:rStyle w:val="1"/>
          <w:sz w:val="28"/>
          <w:szCs w:val="28"/>
        </w:rPr>
        <w:t>предложений (</w:t>
      </w:r>
      <w:r w:rsidRPr="00C72A68">
        <w:rPr>
          <w:rStyle w:val="1"/>
          <w:sz w:val="28"/>
          <w:szCs w:val="28"/>
        </w:rPr>
        <w:t>проектов</w:t>
      </w:r>
      <w:r w:rsidR="001B21D4">
        <w:rPr>
          <w:rStyle w:val="1"/>
          <w:sz w:val="28"/>
          <w:szCs w:val="28"/>
        </w:rPr>
        <w:t>), реализуемых и (или) планируемых к реализации на территории Афанасьевского</w:t>
      </w:r>
      <w:r w:rsidRPr="00C72A68">
        <w:rPr>
          <w:rStyle w:val="1"/>
          <w:sz w:val="28"/>
          <w:szCs w:val="28"/>
        </w:rPr>
        <w:t xml:space="preserve"> </w:t>
      </w:r>
      <w:r w:rsidR="001B21D4">
        <w:rPr>
          <w:rStyle w:val="1"/>
          <w:sz w:val="28"/>
          <w:szCs w:val="28"/>
        </w:rPr>
        <w:t>муниципального округа Кировской области</w:t>
      </w:r>
      <w:r w:rsidRPr="00C72A68">
        <w:rPr>
          <w:rStyle w:val="1"/>
          <w:sz w:val="28"/>
          <w:szCs w:val="28"/>
        </w:rPr>
        <w:t xml:space="preserve"> (постановление </w:t>
      </w:r>
      <w:r w:rsidRPr="00C72A68">
        <w:rPr>
          <w:rStyle w:val="12pt0pt"/>
          <w:sz w:val="28"/>
          <w:szCs w:val="28"/>
        </w:rPr>
        <w:t xml:space="preserve">администрации </w:t>
      </w:r>
      <w:r w:rsidR="001B21D4">
        <w:rPr>
          <w:rStyle w:val="1"/>
          <w:sz w:val="28"/>
          <w:szCs w:val="28"/>
        </w:rPr>
        <w:t xml:space="preserve">Афанасьевского муниципального </w:t>
      </w:r>
      <w:r w:rsidRPr="00C72A68">
        <w:rPr>
          <w:rStyle w:val="1"/>
          <w:sz w:val="28"/>
          <w:szCs w:val="28"/>
        </w:rPr>
        <w:t>округа от 0</w:t>
      </w:r>
      <w:r w:rsidR="001B21D4">
        <w:rPr>
          <w:rStyle w:val="1"/>
          <w:sz w:val="28"/>
          <w:szCs w:val="28"/>
        </w:rPr>
        <w:t>2</w:t>
      </w:r>
      <w:r w:rsidRPr="00C72A68">
        <w:rPr>
          <w:rStyle w:val="1"/>
          <w:sz w:val="28"/>
          <w:szCs w:val="28"/>
        </w:rPr>
        <w:t>.0</w:t>
      </w:r>
      <w:r w:rsidR="001B21D4">
        <w:rPr>
          <w:rStyle w:val="1"/>
          <w:sz w:val="28"/>
          <w:szCs w:val="28"/>
        </w:rPr>
        <w:t>7</w:t>
      </w:r>
      <w:r w:rsidRPr="00C72A68">
        <w:rPr>
          <w:rStyle w:val="1"/>
          <w:sz w:val="28"/>
          <w:szCs w:val="28"/>
        </w:rPr>
        <w:t>.202</w:t>
      </w:r>
      <w:r w:rsidR="001B21D4">
        <w:rPr>
          <w:rStyle w:val="1"/>
          <w:sz w:val="28"/>
          <w:szCs w:val="28"/>
        </w:rPr>
        <w:t>4 № 243)</w:t>
      </w:r>
      <w:r w:rsidRPr="00C72A68">
        <w:rPr>
          <w:rStyle w:val="1"/>
          <w:sz w:val="28"/>
          <w:szCs w:val="28"/>
        </w:rPr>
        <w:t>, который определяет порядок взаимодействия инициаторов инвестиционных проектов с органами местного самоуправления городского округа, иными органами при подготовке и реализации инвестиционных проектов.</w:t>
      </w:r>
    </w:p>
    <w:p w:rsidR="00FB62BD" w:rsidRDefault="00FB62BD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Разработаны и утвержден</w:t>
      </w:r>
      <w:r w:rsidR="007B5A12">
        <w:rPr>
          <w:rStyle w:val="1"/>
          <w:sz w:val="28"/>
          <w:szCs w:val="28"/>
        </w:rPr>
        <w:t>ы</w:t>
      </w:r>
      <w:r>
        <w:rPr>
          <w:rStyle w:val="1"/>
          <w:sz w:val="28"/>
          <w:szCs w:val="28"/>
        </w:rPr>
        <w:t xml:space="preserve"> Думой Афанасьевского муниципального округа Кировской области первого созыва ключевые показатели </w:t>
      </w:r>
      <w:r>
        <w:rPr>
          <w:rStyle w:val="1"/>
          <w:sz w:val="28"/>
          <w:szCs w:val="28"/>
        </w:rPr>
        <w:lastRenderedPageBreak/>
        <w:t>эффективности деятельности главы и инвестиционного уполномоченного Афанасьевского муниципального округа</w:t>
      </w:r>
      <w:r w:rsidR="007B5A12">
        <w:rPr>
          <w:rStyle w:val="1"/>
          <w:sz w:val="28"/>
          <w:szCs w:val="28"/>
        </w:rPr>
        <w:t xml:space="preserve"> по обеспечению условий для благоприятного инвестиционного климата в Афанасьевском муниципальном округе</w:t>
      </w:r>
      <w:r>
        <w:rPr>
          <w:rStyle w:val="1"/>
          <w:sz w:val="28"/>
          <w:szCs w:val="28"/>
        </w:rPr>
        <w:t xml:space="preserve"> (</w:t>
      </w:r>
      <w:r w:rsidR="007B5A12">
        <w:rPr>
          <w:rStyle w:val="1"/>
          <w:sz w:val="28"/>
          <w:szCs w:val="28"/>
        </w:rPr>
        <w:t>решение Думы от 23.07.2024 № 19/3</w:t>
      </w:r>
      <w:r>
        <w:rPr>
          <w:rStyle w:val="1"/>
          <w:sz w:val="28"/>
          <w:szCs w:val="28"/>
        </w:rPr>
        <w:t>).</w:t>
      </w:r>
      <w:r w:rsidR="007B5A12">
        <w:rPr>
          <w:rStyle w:val="1"/>
          <w:sz w:val="28"/>
          <w:szCs w:val="28"/>
        </w:rPr>
        <w:t xml:space="preserve"> Также утверждены значения ключевых показателей эффективности деятельности главы и инвестиционного уполномоченного Афанасьевского муниципального округа (распоряжение администрации Афанасьевского муниципального округа от 17.09.2024 № 797).</w:t>
      </w:r>
    </w:p>
    <w:p w:rsidR="00FB62BD" w:rsidRPr="00C72A68" w:rsidRDefault="00FB62BD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Афанасьевского округа 13.03.2024 заключено Соглашение о сотрудничестве с КОГКУ «Агентство инвестиционного развития Кировской области». Предметом Соглашения является сотрудничество Сторон по организации системной работы по сопровождению инвестиционных проектов Муниципальным образованием с учетом внедрения в Кировской области системы поддержки новых инвестиционных проектов («Региональный инвестиционный стандарт»).</w:t>
      </w:r>
    </w:p>
    <w:p w:rsidR="00046B0E" w:rsidRDefault="00C72A68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rStyle w:val="1"/>
          <w:sz w:val="28"/>
          <w:szCs w:val="28"/>
        </w:rPr>
      </w:pPr>
      <w:r w:rsidRPr="00C72A68">
        <w:rPr>
          <w:rStyle w:val="1"/>
          <w:sz w:val="28"/>
          <w:szCs w:val="28"/>
        </w:rPr>
        <w:t>Для обеспечения поддержки инвестиционных инициатив, координации и' эффективного взаимодействия с субъектами инвестиционной деятельности создан и действ</w:t>
      </w:r>
      <w:r w:rsidR="00F34AC4">
        <w:rPr>
          <w:rStyle w:val="1"/>
          <w:sz w:val="28"/>
          <w:szCs w:val="28"/>
        </w:rPr>
        <w:t>уе</w:t>
      </w:r>
      <w:r w:rsidRPr="00C72A68">
        <w:rPr>
          <w:rStyle w:val="1"/>
          <w:sz w:val="28"/>
          <w:szCs w:val="28"/>
        </w:rPr>
        <w:t xml:space="preserve">т </w:t>
      </w:r>
      <w:r w:rsidR="00F34AC4">
        <w:rPr>
          <w:rStyle w:val="1"/>
          <w:sz w:val="28"/>
          <w:szCs w:val="28"/>
        </w:rPr>
        <w:t>С</w:t>
      </w:r>
      <w:r w:rsidRPr="00C72A68">
        <w:rPr>
          <w:rStyle w:val="1"/>
          <w:sz w:val="28"/>
          <w:szCs w:val="28"/>
        </w:rPr>
        <w:t>овет</w:t>
      </w:r>
      <w:r w:rsidR="00F34AC4">
        <w:rPr>
          <w:rStyle w:val="1"/>
          <w:sz w:val="28"/>
          <w:szCs w:val="28"/>
        </w:rPr>
        <w:t xml:space="preserve"> предпринимателей и хозяйственных руководителей при главе округа</w:t>
      </w:r>
      <w:r w:rsidR="00065ACF">
        <w:rPr>
          <w:rStyle w:val="1"/>
          <w:sz w:val="28"/>
          <w:szCs w:val="28"/>
        </w:rPr>
        <w:t xml:space="preserve"> (далее – Совет)</w:t>
      </w:r>
      <w:r w:rsidR="00F34AC4">
        <w:rPr>
          <w:rStyle w:val="1"/>
          <w:sz w:val="28"/>
          <w:szCs w:val="28"/>
        </w:rPr>
        <w:t>.</w:t>
      </w:r>
    </w:p>
    <w:p w:rsidR="00065ACF" w:rsidRDefault="00065ACF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 2024 год</w:t>
      </w:r>
      <w:r w:rsidR="00655DEE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проведено 1 заседание Совета, на которое был приглашен министр лесного хозяйства Кировской области. Рассматривались следующие вопросы: итоги работы Министерства лесного хозяйства Кировской области в 2023 году, итоги деятельности администрации Афанасьевского муниципального округа за 2023 год и планы на 2024 год</w:t>
      </w:r>
      <w:r w:rsidR="00A40108">
        <w:rPr>
          <w:rStyle w:val="1"/>
          <w:sz w:val="28"/>
          <w:szCs w:val="28"/>
        </w:rPr>
        <w:t>, разное</w:t>
      </w:r>
      <w:r w:rsidR="00493A15">
        <w:rPr>
          <w:rStyle w:val="1"/>
          <w:sz w:val="28"/>
          <w:szCs w:val="28"/>
        </w:rPr>
        <w:t>.</w:t>
      </w:r>
    </w:p>
    <w:p w:rsidR="006532DA" w:rsidRPr="006532DA" w:rsidRDefault="006532DA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6532DA">
        <w:rPr>
          <w:sz w:val="28"/>
          <w:szCs w:val="28"/>
        </w:rPr>
        <w:t xml:space="preserve">В рамках реализации на территории </w:t>
      </w:r>
      <w:r>
        <w:rPr>
          <w:sz w:val="28"/>
          <w:szCs w:val="28"/>
        </w:rPr>
        <w:t>Кировской</w:t>
      </w:r>
      <w:r w:rsidRPr="006532DA">
        <w:rPr>
          <w:sz w:val="28"/>
          <w:szCs w:val="28"/>
        </w:rPr>
        <w:t xml:space="preserve"> области единой государственной инвестиционной политики осуществляется взаимодействие с Министерством </w:t>
      </w:r>
      <w:r>
        <w:rPr>
          <w:sz w:val="28"/>
          <w:szCs w:val="28"/>
        </w:rPr>
        <w:t xml:space="preserve">экономического развития Кировской </w:t>
      </w:r>
      <w:r w:rsidRPr="006532DA">
        <w:rPr>
          <w:sz w:val="28"/>
          <w:szCs w:val="28"/>
        </w:rPr>
        <w:t xml:space="preserve">области. Организовано взаимодействие с </w:t>
      </w:r>
      <w:r>
        <w:rPr>
          <w:sz w:val="28"/>
          <w:szCs w:val="28"/>
        </w:rPr>
        <w:t>КОГКУ «Агентство инвестиционного развития Кировской области»</w:t>
      </w:r>
      <w:r w:rsidRPr="006532DA">
        <w:rPr>
          <w:sz w:val="28"/>
          <w:szCs w:val="28"/>
        </w:rPr>
        <w:t>.</w:t>
      </w:r>
    </w:p>
    <w:p w:rsidR="00B14512" w:rsidRDefault="00B14512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B14512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B14512">
        <w:rPr>
          <w:sz w:val="28"/>
          <w:szCs w:val="28"/>
        </w:rPr>
        <w:t xml:space="preserve"> год объем инвестиций в основной капитал за счет всех источников финансирования по кругу крупных и средних предприятий </w:t>
      </w:r>
      <w:r>
        <w:rPr>
          <w:sz w:val="28"/>
          <w:szCs w:val="28"/>
        </w:rPr>
        <w:t>Афанасьевского муниципального</w:t>
      </w:r>
      <w:r w:rsidRPr="00B14512">
        <w:rPr>
          <w:sz w:val="28"/>
          <w:szCs w:val="28"/>
        </w:rPr>
        <w:t xml:space="preserve"> округа составил </w:t>
      </w:r>
      <w:r>
        <w:rPr>
          <w:sz w:val="28"/>
          <w:szCs w:val="28"/>
        </w:rPr>
        <w:t>166,5</w:t>
      </w:r>
      <w:r w:rsidRPr="00B14512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B14512">
        <w:rPr>
          <w:sz w:val="28"/>
          <w:szCs w:val="28"/>
        </w:rPr>
        <w:t>. рублей, что в 1,</w:t>
      </w:r>
      <w:r>
        <w:rPr>
          <w:sz w:val="28"/>
          <w:szCs w:val="28"/>
        </w:rPr>
        <w:t>8</w:t>
      </w:r>
      <w:r w:rsidRPr="00B14512">
        <w:rPr>
          <w:sz w:val="28"/>
          <w:szCs w:val="28"/>
        </w:rPr>
        <w:t xml:space="preserve"> раза выше уровня 202</w:t>
      </w:r>
      <w:r>
        <w:rPr>
          <w:sz w:val="28"/>
          <w:szCs w:val="28"/>
        </w:rPr>
        <w:t>2 года. По оценке</w:t>
      </w:r>
      <w:r w:rsidR="00C92D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2024 год</w:t>
      </w:r>
      <w:r w:rsidR="00C92D5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92D53">
        <w:rPr>
          <w:sz w:val="28"/>
          <w:szCs w:val="28"/>
        </w:rPr>
        <w:t>инвестирование составит 106,7 млн. рублей.</w:t>
      </w:r>
    </w:p>
    <w:p w:rsidR="006B55FB" w:rsidRDefault="006B55FB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реализован инвестиционный проект «</w:t>
      </w:r>
      <w:r w:rsidRPr="006B55FB">
        <w:rPr>
          <w:sz w:val="28"/>
          <w:szCs w:val="28"/>
        </w:rPr>
        <w:t>Коровник привязного содержания с молочным блоком на 200 голов КРС (2 двора)</w:t>
      </w:r>
      <w:r>
        <w:rPr>
          <w:sz w:val="28"/>
          <w:szCs w:val="28"/>
        </w:rPr>
        <w:t>» ОАО «Агрофирма «</w:t>
      </w:r>
      <w:proofErr w:type="spellStart"/>
      <w:r>
        <w:rPr>
          <w:sz w:val="28"/>
          <w:szCs w:val="28"/>
        </w:rPr>
        <w:t>Гордино</w:t>
      </w:r>
      <w:proofErr w:type="spellEnd"/>
      <w:r>
        <w:rPr>
          <w:sz w:val="28"/>
          <w:szCs w:val="28"/>
        </w:rPr>
        <w:t>» на сумму 44,4 млн. рублей. На данный момент</w:t>
      </w:r>
      <w:r w:rsidR="00DA107D">
        <w:rPr>
          <w:sz w:val="28"/>
          <w:szCs w:val="28"/>
        </w:rPr>
        <w:t xml:space="preserve"> планируется к</w:t>
      </w:r>
      <w:r>
        <w:rPr>
          <w:sz w:val="28"/>
          <w:szCs w:val="28"/>
        </w:rPr>
        <w:t xml:space="preserve"> реализ</w:t>
      </w:r>
      <w:r w:rsidR="00DA107D">
        <w:rPr>
          <w:sz w:val="28"/>
          <w:szCs w:val="28"/>
        </w:rPr>
        <w:t>ации</w:t>
      </w:r>
      <w:r>
        <w:rPr>
          <w:sz w:val="28"/>
          <w:szCs w:val="28"/>
        </w:rPr>
        <w:t xml:space="preserve"> инвестиционный проект «Родильное отделение для КРС» ОАО «Агрофирма «</w:t>
      </w:r>
      <w:proofErr w:type="spellStart"/>
      <w:r>
        <w:rPr>
          <w:sz w:val="28"/>
          <w:szCs w:val="28"/>
        </w:rPr>
        <w:t>Гордино</w:t>
      </w:r>
      <w:proofErr w:type="spellEnd"/>
      <w:r>
        <w:rPr>
          <w:sz w:val="28"/>
          <w:szCs w:val="28"/>
        </w:rPr>
        <w:t>» на сумму 37,2 млн. рублей, планируемый срок ввода в эксплуатацию – 2025 год.</w:t>
      </w:r>
    </w:p>
    <w:p w:rsidR="004E018E" w:rsidRPr="004E018E" w:rsidRDefault="004E018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4E018E">
        <w:rPr>
          <w:sz w:val="28"/>
          <w:szCs w:val="28"/>
        </w:rPr>
        <w:t>Проводимая инвестиционным уполномоченным</w:t>
      </w:r>
      <w:r w:rsidR="00655DEE">
        <w:rPr>
          <w:sz w:val="28"/>
          <w:szCs w:val="28"/>
        </w:rPr>
        <w:t xml:space="preserve"> работа</w:t>
      </w:r>
      <w:r w:rsidRPr="004E018E">
        <w:rPr>
          <w:sz w:val="28"/>
          <w:szCs w:val="28"/>
        </w:rPr>
        <w:t xml:space="preserve"> </w:t>
      </w:r>
      <w:r w:rsidR="00655DEE">
        <w:rPr>
          <w:sz w:val="28"/>
          <w:szCs w:val="28"/>
        </w:rPr>
        <w:t xml:space="preserve">за </w:t>
      </w:r>
      <w:r w:rsidRPr="004E01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E018E">
        <w:rPr>
          <w:sz w:val="28"/>
          <w:szCs w:val="28"/>
        </w:rPr>
        <w:t xml:space="preserve"> год направлена на создание благоприятных условий для развития инвестиционной деятельности на территории </w:t>
      </w:r>
      <w:r>
        <w:rPr>
          <w:sz w:val="28"/>
          <w:szCs w:val="28"/>
        </w:rPr>
        <w:t>Афанасьевского муниципального</w:t>
      </w:r>
      <w:r w:rsidRPr="004E018E">
        <w:rPr>
          <w:sz w:val="28"/>
          <w:szCs w:val="28"/>
        </w:rPr>
        <w:t xml:space="preserve"> округа, повышению инвестиционной привлекательности территории округа.</w:t>
      </w:r>
    </w:p>
    <w:p w:rsidR="001D5ACB" w:rsidRDefault="001D5ACB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1D5ACB">
        <w:rPr>
          <w:sz w:val="28"/>
          <w:szCs w:val="28"/>
        </w:rPr>
        <w:lastRenderedPageBreak/>
        <w:t xml:space="preserve">С целью поддержки предпринимательской инициативы, развития предпринимательства в </w:t>
      </w:r>
      <w:r>
        <w:rPr>
          <w:sz w:val="28"/>
          <w:szCs w:val="28"/>
        </w:rPr>
        <w:t>Афанасьевском муниципальном</w:t>
      </w:r>
      <w:r w:rsidRPr="001D5ACB">
        <w:rPr>
          <w:sz w:val="28"/>
          <w:szCs w:val="28"/>
        </w:rPr>
        <w:t xml:space="preserve"> округе реализуется муниципальная программа «</w:t>
      </w:r>
      <w:r>
        <w:rPr>
          <w:sz w:val="28"/>
          <w:szCs w:val="28"/>
        </w:rPr>
        <w:t>Поддержка и р</w:t>
      </w:r>
      <w:r w:rsidRPr="001D5ACB">
        <w:rPr>
          <w:sz w:val="28"/>
          <w:szCs w:val="28"/>
        </w:rPr>
        <w:t xml:space="preserve">азвитие малого и среднего предпринимательства </w:t>
      </w:r>
      <w:r>
        <w:rPr>
          <w:sz w:val="28"/>
          <w:szCs w:val="28"/>
        </w:rPr>
        <w:t>на территории Афанасьевского муниципального округа»</w:t>
      </w:r>
      <w:r w:rsidRPr="001D5AC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D5AC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D5ACB">
        <w:rPr>
          <w:sz w:val="28"/>
          <w:szCs w:val="28"/>
        </w:rPr>
        <w:t xml:space="preserve"> годы, в которой определены формы, условия и порядок финансовой, имущественной, консультативной, информационной поддержки субъектов малого и среднего предпринимательства. На реализацию муниципальной программы </w:t>
      </w:r>
      <w:r>
        <w:rPr>
          <w:sz w:val="28"/>
          <w:szCs w:val="28"/>
        </w:rPr>
        <w:t>с</w:t>
      </w:r>
      <w:r w:rsidRPr="001D5ACB">
        <w:rPr>
          <w:sz w:val="28"/>
          <w:szCs w:val="28"/>
        </w:rPr>
        <w:t xml:space="preserve"> 202</w:t>
      </w:r>
      <w:r>
        <w:rPr>
          <w:sz w:val="28"/>
          <w:szCs w:val="28"/>
        </w:rPr>
        <w:t>3 по 2027</w:t>
      </w:r>
      <w:r w:rsidRPr="001D5AC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D5ACB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заложено по</w:t>
      </w:r>
      <w:r w:rsidRPr="001D5ACB">
        <w:rPr>
          <w:sz w:val="28"/>
          <w:szCs w:val="28"/>
        </w:rPr>
        <w:t xml:space="preserve"> 20,0 тыс. руб</w:t>
      </w:r>
      <w:r>
        <w:rPr>
          <w:sz w:val="28"/>
          <w:szCs w:val="28"/>
        </w:rPr>
        <w:t>лей</w:t>
      </w:r>
      <w:r w:rsidRPr="001D5ACB">
        <w:rPr>
          <w:sz w:val="28"/>
          <w:szCs w:val="28"/>
        </w:rPr>
        <w:t>.</w:t>
      </w:r>
    </w:p>
    <w:p w:rsidR="006A06F5" w:rsidRDefault="006A06F5" w:rsidP="004A33E8">
      <w:pPr>
        <w:pStyle w:val="6"/>
        <w:shd w:val="clear" w:color="auto" w:fill="auto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6532DA">
        <w:rPr>
          <w:sz w:val="28"/>
          <w:szCs w:val="28"/>
        </w:rPr>
        <w:t xml:space="preserve">На постоянной </w:t>
      </w:r>
      <w:r>
        <w:rPr>
          <w:sz w:val="28"/>
          <w:szCs w:val="28"/>
        </w:rPr>
        <w:t xml:space="preserve">основе </w:t>
      </w:r>
      <w:r w:rsidRPr="006532DA">
        <w:rPr>
          <w:sz w:val="28"/>
          <w:szCs w:val="28"/>
        </w:rPr>
        <w:t xml:space="preserve">проводится информирование предприятий, индивидуальных предпринимателей </w:t>
      </w:r>
      <w:r>
        <w:rPr>
          <w:sz w:val="28"/>
          <w:szCs w:val="28"/>
        </w:rPr>
        <w:t>Афанасьевского муниципального округа</w:t>
      </w:r>
      <w:r w:rsidRPr="006532DA">
        <w:rPr>
          <w:sz w:val="28"/>
          <w:szCs w:val="28"/>
        </w:rPr>
        <w:t xml:space="preserve"> о видах государственной поддержки.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Услугами Кировского областного фонда поддержки малого и среднего предпринимательства</w:t>
      </w:r>
      <w:r w:rsidR="006A06F5" w:rsidRPr="00AD2361">
        <w:rPr>
          <w:sz w:val="28"/>
          <w:szCs w:val="28"/>
        </w:rPr>
        <w:t xml:space="preserve"> «Мой бизнес»</w:t>
      </w:r>
      <w:r w:rsidRPr="00AD2361">
        <w:rPr>
          <w:sz w:val="28"/>
          <w:szCs w:val="28"/>
        </w:rPr>
        <w:t xml:space="preserve"> за 202</w:t>
      </w:r>
      <w:r w:rsidR="00B53FAE" w:rsidRPr="00AD2361">
        <w:rPr>
          <w:sz w:val="28"/>
          <w:szCs w:val="28"/>
        </w:rPr>
        <w:t>4</w:t>
      </w:r>
      <w:r w:rsidRPr="00AD2361">
        <w:rPr>
          <w:sz w:val="28"/>
          <w:szCs w:val="28"/>
        </w:rPr>
        <w:t xml:space="preserve"> год воспользовались 1</w:t>
      </w:r>
      <w:r w:rsidR="00F62F6B" w:rsidRPr="00AD2361">
        <w:rPr>
          <w:sz w:val="28"/>
          <w:szCs w:val="28"/>
        </w:rPr>
        <w:t>9</w:t>
      </w:r>
      <w:r w:rsidRPr="00AD2361">
        <w:rPr>
          <w:sz w:val="28"/>
          <w:szCs w:val="28"/>
        </w:rPr>
        <w:t xml:space="preserve"> субъектов малого и среднего предпринимательства: 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 xml:space="preserve">- образовательная поддержка – </w:t>
      </w:r>
      <w:r w:rsidR="00EA41EC" w:rsidRPr="00AD2361">
        <w:rPr>
          <w:sz w:val="28"/>
          <w:szCs w:val="28"/>
        </w:rPr>
        <w:t>7</w:t>
      </w:r>
      <w:r w:rsidRPr="00AD2361">
        <w:rPr>
          <w:sz w:val="28"/>
          <w:szCs w:val="28"/>
        </w:rPr>
        <w:t xml:space="preserve"> хозяйствующих субъекта, 7</w:t>
      </w:r>
      <w:r w:rsidR="00EA41EC" w:rsidRPr="00AD2361">
        <w:rPr>
          <w:sz w:val="28"/>
          <w:szCs w:val="28"/>
        </w:rPr>
        <w:t>4</w:t>
      </w:r>
      <w:r w:rsidRPr="00AD2361">
        <w:rPr>
          <w:sz w:val="28"/>
          <w:szCs w:val="28"/>
        </w:rPr>
        <w:t xml:space="preserve"> час</w:t>
      </w:r>
      <w:r w:rsidR="00EA41EC" w:rsidRPr="00AD2361">
        <w:rPr>
          <w:sz w:val="28"/>
          <w:szCs w:val="28"/>
        </w:rPr>
        <w:t>а</w:t>
      </w:r>
      <w:r w:rsidRPr="00AD2361">
        <w:rPr>
          <w:sz w:val="28"/>
          <w:szCs w:val="28"/>
        </w:rPr>
        <w:t>;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 xml:space="preserve">- консультационная поддержка – </w:t>
      </w:r>
      <w:r w:rsidR="00EA41EC" w:rsidRPr="00AD2361">
        <w:rPr>
          <w:sz w:val="28"/>
          <w:szCs w:val="28"/>
        </w:rPr>
        <w:t>5</w:t>
      </w:r>
      <w:r w:rsidRPr="00AD2361">
        <w:rPr>
          <w:sz w:val="28"/>
          <w:szCs w:val="28"/>
        </w:rPr>
        <w:t xml:space="preserve"> субъектов, </w:t>
      </w:r>
      <w:r w:rsidR="00EA41EC" w:rsidRPr="00AD2361">
        <w:rPr>
          <w:sz w:val="28"/>
          <w:szCs w:val="28"/>
        </w:rPr>
        <w:t>126</w:t>
      </w:r>
      <w:r w:rsidRPr="00AD2361">
        <w:rPr>
          <w:sz w:val="28"/>
          <w:szCs w:val="28"/>
        </w:rPr>
        <w:t>,5 час</w:t>
      </w:r>
      <w:r w:rsidR="00725F71" w:rsidRPr="00AD2361">
        <w:rPr>
          <w:sz w:val="28"/>
          <w:szCs w:val="28"/>
        </w:rPr>
        <w:t>а</w:t>
      </w:r>
      <w:r w:rsidRPr="00AD2361">
        <w:rPr>
          <w:sz w:val="28"/>
          <w:szCs w:val="28"/>
        </w:rPr>
        <w:t>;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 xml:space="preserve">-льготным кредитованием воспользовались </w:t>
      </w:r>
      <w:r w:rsidR="00EA41EC" w:rsidRPr="00AD2361">
        <w:rPr>
          <w:sz w:val="28"/>
          <w:szCs w:val="28"/>
        </w:rPr>
        <w:t>7</w:t>
      </w:r>
      <w:r w:rsidRPr="00AD2361">
        <w:rPr>
          <w:sz w:val="28"/>
          <w:szCs w:val="28"/>
        </w:rPr>
        <w:t xml:space="preserve"> субъектов по процентной ставке от </w:t>
      </w:r>
      <w:r w:rsidR="00EA41EC" w:rsidRPr="00AD2361">
        <w:rPr>
          <w:sz w:val="28"/>
          <w:szCs w:val="28"/>
        </w:rPr>
        <w:t>5,5 до 9</w:t>
      </w:r>
      <w:r w:rsidRPr="00AD2361">
        <w:rPr>
          <w:sz w:val="28"/>
          <w:szCs w:val="28"/>
        </w:rPr>
        <w:t xml:space="preserve"> %.</w:t>
      </w:r>
    </w:p>
    <w:p w:rsidR="00155AA1" w:rsidRPr="00AD2361" w:rsidRDefault="00B53FA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Один предприниматель воспользовался поддержкой АНО "Центра координации поддержки экспортно-ориентированных субъектов малого и среднего предпринимательства Кировской области"</w:t>
      </w:r>
      <w:r w:rsidR="00155AA1" w:rsidRPr="00AD2361">
        <w:rPr>
          <w:sz w:val="28"/>
          <w:szCs w:val="28"/>
        </w:rPr>
        <w:t>:</w:t>
      </w:r>
    </w:p>
    <w:p w:rsidR="00155AA1" w:rsidRPr="00AD2361" w:rsidRDefault="00155AA1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-</w:t>
      </w:r>
      <w:r w:rsidR="00B53FAE" w:rsidRPr="00AD2361">
        <w:rPr>
          <w:sz w:val="28"/>
          <w:szCs w:val="28"/>
        </w:rPr>
        <w:t xml:space="preserve"> образовательной – 24 час</w:t>
      </w:r>
      <w:r w:rsidRPr="00AD2361">
        <w:rPr>
          <w:sz w:val="28"/>
          <w:szCs w:val="28"/>
        </w:rPr>
        <w:t>а</w:t>
      </w:r>
      <w:r w:rsidR="00B53FAE" w:rsidRPr="00AD2361">
        <w:rPr>
          <w:sz w:val="28"/>
          <w:szCs w:val="28"/>
        </w:rPr>
        <w:t xml:space="preserve">, </w:t>
      </w:r>
    </w:p>
    <w:p w:rsidR="00B53FAE" w:rsidRPr="00AD2361" w:rsidRDefault="00155AA1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-</w:t>
      </w:r>
      <w:r w:rsidR="00B53FAE" w:rsidRPr="00AD2361">
        <w:rPr>
          <w:sz w:val="28"/>
          <w:szCs w:val="28"/>
        </w:rPr>
        <w:t xml:space="preserve"> консультационной поддержкой – 16 часов.</w:t>
      </w:r>
    </w:p>
    <w:p w:rsidR="00B53FAE" w:rsidRPr="00AD2361" w:rsidRDefault="00F62F6B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Услуг</w:t>
      </w:r>
      <w:r w:rsidR="00533554" w:rsidRPr="00AD2361">
        <w:rPr>
          <w:sz w:val="28"/>
          <w:szCs w:val="28"/>
        </w:rPr>
        <w:t>ой</w:t>
      </w:r>
      <w:r w:rsidRPr="00AD2361">
        <w:rPr>
          <w:sz w:val="28"/>
          <w:szCs w:val="28"/>
        </w:rPr>
        <w:t xml:space="preserve"> АО «Федеральная корпорация по развитию малого и среднего предпринимательства» воспользовал</w:t>
      </w:r>
      <w:r w:rsidR="00533554" w:rsidRPr="00AD2361">
        <w:rPr>
          <w:sz w:val="28"/>
          <w:szCs w:val="28"/>
        </w:rPr>
        <w:t>о</w:t>
      </w:r>
      <w:r w:rsidRPr="00AD2361">
        <w:rPr>
          <w:sz w:val="28"/>
          <w:szCs w:val="28"/>
        </w:rPr>
        <w:t>с</w:t>
      </w:r>
      <w:r w:rsidR="00533554" w:rsidRPr="00AD2361">
        <w:rPr>
          <w:sz w:val="28"/>
          <w:szCs w:val="28"/>
        </w:rPr>
        <w:t>ь</w:t>
      </w:r>
      <w:r w:rsidRPr="00AD2361">
        <w:rPr>
          <w:sz w:val="28"/>
          <w:szCs w:val="28"/>
        </w:rPr>
        <w:t xml:space="preserve"> 1 юридическое лицо</w:t>
      </w:r>
      <w:r w:rsidR="00533554" w:rsidRPr="00AD2361">
        <w:rPr>
          <w:sz w:val="28"/>
          <w:szCs w:val="28"/>
        </w:rPr>
        <w:t xml:space="preserve"> (гарантии и поручительства на сумму 454,0 тыс. рублей).</w:t>
      </w:r>
    </w:p>
    <w:p w:rsidR="00533554" w:rsidRPr="00AD2361" w:rsidRDefault="00533554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Министерство сельского хозяйства и продовольствия Кировской области оказало поддержку СМСП Афанасьевского муниципального округа на сумму 4977,4 тыс. рублей:</w:t>
      </w:r>
    </w:p>
    <w:p w:rsidR="00533554" w:rsidRPr="00AD2361" w:rsidRDefault="00533554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 xml:space="preserve">- на приобретение сельскохозяйственной техники – </w:t>
      </w:r>
      <w:r w:rsidR="00155AA1" w:rsidRPr="00AD2361">
        <w:rPr>
          <w:sz w:val="28"/>
          <w:szCs w:val="28"/>
        </w:rPr>
        <w:t>2</w:t>
      </w:r>
      <w:r w:rsidRPr="00AD2361">
        <w:rPr>
          <w:sz w:val="28"/>
          <w:szCs w:val="28"/>
        </w:rPr>
        <w:t xml:space="preserve"> </w:t>
      </w:r>
      <w:r w:rsidR="00155AA1" w:rsidRPr="00AD2361">
        <w:rPr>
          <w:sz w:val="28"/>
          <w:szCs w:val="28"/>
        </w:rPr>
        <w:t>хозяйствующих субъекта на сумму 358,62 тыс. рублей;</w:t>
      </w:r>
    </w:p>
    <w:p w:rsidR="00155AA1" w:rsidRPr="00AD2361" w:rsidRDefault="00155AA1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- на развитие животноводства – 5 хозяйствующих субъектов на сумму 4618,78 тыс. рублей.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Также</w:t>
      </w:r>
      <w:r w:rsidR="00725F71" w:rsidRPr="00AD2361">
        <w:rPr>
          <w:sz w:val="28"/>
          <w:szCs w:val="28"/>
        </w:rPr>
        <w:t xml:space="preserve"> в 202</w:t>
      </w:r>
      <w:r w:rsidR="00B53FAE" w:rsidRPr="00AD2361">
        <w:rPr>
          <w:sz w:val="28"/>
          <w:szCs w:val="28"/>
        </w:rPr>
        <w:t>4</w:t>
      </w:r>
      <w:r w:rsidR="00725F71" w:rsidRPr="00AD2361">
        <w:rPr>
          <w:sz w:val="28"/>
          <w:szCs w:val="28"/>
        </w:rPr>
        <w:t xml:space="preserve"> году</w:t>
      </w:r>
      <w:r w:rsidRPr="00AD2361">
        <w:rPr>
          <w:sz w:val="28"/>
          <w:szCs w:val="28"/>
        </w:rPr>
        <w:t xml:space="preserve"> предоставлены следующие поддержки из местного бюджета:</w:t>
      </w:r>
    </w:p>
    <w:p w:rsidR="00FF31DE" w:rsidRPr="00AD2361" w:rsidRDefault="00FF31DE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- субсидия на возмещение части затрат субъектам, осуществляющим развозную торговлю в отдаленных сельских населенных пунктах на территории Афанасьевского муниципального округа, не имеющих стационарной торговой сети в сумме 300,0 тыс. рублей.</w:t>
      </w:r>
    </w:p>
    <w:p w:rsidR="00E55788" w:rsidRPr="00AD2361" w:rsidRDefault="00E55788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>- субсидия из бюджета округа для возмещения затрат перевозчикам, осуществляющим регулярные перевозки пассажиров и багажа автомобильным транспортом в границах Афанасьевского муниципального округа в сумме 200,0 тыс. рублей;</w:t>
      </w:r>
    </w:p>
    <w:p w:rsidR="00EF0BAC" w:rsidRDefault="00EF0BAC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AD2361">
        <w:rPr>
          <w:sz w:val="28"/>
          <w:szCs w:val="28"/>
        </w:rPr>
        <w:t xml:space="preserve">- субсидия на возмещение недополученных доходов в связи с установлением бесплатного проезда на автомобильном транспорте по </w:t>
      </w:r>
      <w:r w:rsidRPr="00AD2361">
        <w:rPr>
          <w:sz w:val="28"/>
          <w:szCs w:val="28"/>
        </w:rPr>
        <w:lastRenderedPageBreak/>
        <w:t xml:space="preserve">муниципальным маршрутам отдельным категориям граждан; на возмещение затрат перевозчикам, осуществляющим регулярные перевозки пассажиров и багажа автомобильным транспортом в сумме </w:t>
      </w:r>
      <w:r w:rsidR="00B53FAE" w:rsidRPr="00AD2361">
        <w:rPr>
          <w:sz w:val="28"/>
          <w:szCs w:val="28"/>
        </w:rPr>
        <w:t>522,07</w:t>
      </w:r>
      <w:r w:rsidR="00F62F6B" w:rsidRPr="00AD2361">
        <w:rPr>
          <w:sz w:val="28"/>
          <w:szCs w:val="28"/>
        </w:rPr>
        <w:t xml:space="preserve"> тыс. рублей.</w:t>
      </w:r>
    </w:p>
    <w:p w:rsidR="002A3AEF" w:rsidRDefault="002A3AEF" w:rsidP="002A3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реализованных, реализуемых и планируемых к реализации инвестиционных проектов в муниципальном образовании Кировской области: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0"/>
        <w:gridCol w:w="1672"/>
        <w:gridCol w:w="1255"/>
        <w:gridCol w:w="1298"/>
        <w:gridCol w:w="598"/>
        <w:gridCol w:w="590"/>
        <w:gridCol w:w="598"/>
        <w:gridCol w:w="590"/>
        <w:gridCol w:w="1059"/>
        <w:gridCol w:w="1305"/>
      </w:tblGrid>
      <w:tr w:rsidR="002A3AEF" w:rsidTr="008C65C1">
        <w:tc>
          <w:tcPr>
            <w:tcW w:w="391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1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311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56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инвестора</w:t>
            </w:r>
          </w:p>
        </w:tc>
        <w:tc>
          <w:tcPr>
            <w:tcW w:w="1228" w:type="dxa"/>
            <w:gridSpan w:val="2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инвестиций, </w:t>
            </w:r>
            <w:proofErr w:type="spellStart"/>
            <w:r>
              <w:rPr>
                <w:rFonts w:ascii="Times New Roman" w:hAnsi="Times New Roman" w:cs="Times New Roman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8" w:type="dxa"/>
            <w:gridSpan w:val="2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</w:t>
            </w:r>
          </w:p>
        </w:tc>
        <w:tc>
          <w:tcPr>
            <w:tcW w:w="1104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84" w:type="dxa"/>
            <w:vMerge w:val="restart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2A3AEF" w:rsidTr="008C65C1">
        <w:tc>
          <w:tcPr>
            <w:tcW w:w="391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04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AEF" w:rsidTr="008C65C1">
        <w:tc>
          <w:tcPr>
            <w:tcW w:w="39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 xml:space="preserve">Строительство торгового центра </w:t>
            </w:r>
            <w:proofErr w:type="spellStart"/>
            <w:r w:rsidRPr="007D6372">
              <w:rPr>
                <w:rFonts w:ascii="Times New Roman" w:hAnsi="Times New Roman" w:cs="Times New Roman"/>
              </w:rPr>
              <w:t>пгт</w:t>
            </w:r>
            <w:proofErr w:type="spellEnd"/>
            <w:r w:rsidRPr="007D6372">
              <w:rPr>
                <w:rFonts w:ascii="Times New Roman" w:hAnsi="Times New Roman" w:cs="Times New Roman"/>
              </w:rPr>
              <w:t xml:space="preserve"> Афанасьево, ул. Советская, 17, площадью 395 </w:t>
            </w:r>
            <w:proofErr w:type="spellStart"/>
            <w:r w:rsidRPr="007D6372">
              <w:rPr>
                <w:rFonts w:ascii="Times New Roman" w:hAnsi="Times New Roman" w:cs="Times New Roman"/>
              </w:rPr>
              <w:t>кв.м</w:t>
            </w:r>
            <w:proofErr w:type="spellEnd"/>
            <w:r w:rsidRPr="007D6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>430200004404</w:t>
            </w:r>
          </w:p>
        </w:tc>
        <w:tc>
          <w:tcPr>
            <w:tcW w:w="1356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Черанёва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2A3AEF" w:rsidTr="008C65C1">
        <w:tc>
          <w:tcPr>
            <w:tcW w:w="39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 xml:space="preserve">Строительство административного </w:t>
            </w:r>
            <w:r>
              <w:rPr>
                <w:rFonts w:ascii="Times New Roman" w:hAnsi="Times New Roman" w:cs="Times New Roman"/>
              </w:rPr>
              <w:t xml:space="preserve">здания д. </w:t>
            </w:r>
            <w:proofErr w:type="spellStart"/>
            <w:r>
              <w:rPr>
                <w:rFonts w:ascii="Times New Roman" w:hAnsi="Times New Roman" w:cs="Times New Roman"/>
              </w:rPr>
              <w:t>Прокопьевская</w:t>
            </w:r>
            <w:proofErr w:type="spellEnd"/>
            <w:r>
              <w:rPr>
                <w:rFonts w:ascii="Times New Roman" w:hAnsi="Times New Roman" w:cs="Times New Roman"/>
              </w:rPr>
              <w:t>, д. 3а,</w:t>
            </w:r>
            <w:r w:rsidRPr="007D6372">
              <w:rPr>
                <w:rFonts w:ascii="Times New Roman" w:hAnsi="Times New Roman" w:cs="Times New Roman"/>
              </w:rPr>
              <w:t xml:space="preserve"> площадью 44,6 </w:t>
            </w:r>
            <w:proofErr w:type="spellStart"/>
            <w:r w:rsidRPr="007D6372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1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>430200294894</w:t>
            </w:r>
          </w:p>
        </w:tc>
        <w:tc>
          <w:tcPr>
            <w:tcW w:w="1356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>ИП Казаков С.В.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2A3AEF" w:rsidTr="008C65C1">
        <w:tc>
          <w:tcPr>
            <w:tcW w:w="39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 xml:space="preserve">Строительство здания магазина </w:t>
            </w:r>
            <w:proofErr w:type="spellStart"/>
            <w:r w:rsidRPr="007D6372">
              <w:rPr>
                <w:rFonts w:ascii="Times New Roman" w:hAnsi="Times New Roman" w:cs="Times New Roman"/>
              </w:rPr>
              <w:t>пгт</w:t>
            </w:r>
            <w:proofErr w:type="spellEnd"/>
            <w:r w:rsidRPr="007D6372">
              <w:rPr>
                <w:rFonts w:ascii="Times New Roman" w:hAnsi="Times New Roman" w:cs="Times New Roman"/>
              </w:rPr>
              <w:t xml:space="preserve"> Афанасьево, ул. Советская, 27, площадью 250 </w:t>
            </w:r>
            <w:proofErr w:type="spellStart"/>
            <w:r w:rsidRPr="007D6372">
              <w:rPr>
                <w:rFonts w:ascii="Times New Roman" w:hAnsi="Times New Roman" w:cs="Times New Roman"/>
              </w:rPr>
              <w:t>кв.м</w:t>
            </w:r>
            <w:proofErr w:type="spellEnd"/>
            <w:r w:rsidRPr="007D6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854C64">
              <w:rPr>
                <w:rFonts w:ascii="Times New Roman" w:hAnsi="Times New Roman" w:cs="Times New Roman"/>
              </w:rPr>
              <w:t>594900028060</w:t>
            </w:r>
            <w:r>
              <w:rPr>
                <w:rFonts w:ascii="Times New Roman" w:hAnsi="Times New Roman" w:cs="Times New Roman"/>
              </w:rPr>
              <w:t xml:space="preserve"> (сведения не точные, на контакт не идет)</w:t>
            </w:r>
          </w:p>
        </w:tc>
        <w:tc>
          <w:tcPr>
            <w:tcW w:w="1356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 w:rsidRPr="007D6372">
              <w:rPr>
                <w:rFonts w:ascii="Times New Roman" w:hAnsi="Times New Roman" w:cs="Times New Roman"/>
              </w:rPr>
              <w:t>ИП Иванов А.П.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исполнен, Здание магазина введено в эксплуатацию, открытие магазина планируется в 2025 году </w:t>
            </w:r>
          </w:p>
        </w:tc>
      </w:tr>
      <w:tr w:rsidR="002A3AEF" w:rsidTr="008C65C1">
        <w:tc>
          <w:tcPr>
            <w:tcW w:w="39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A3AEF" w:rsidRPr="0097065A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3AEF" w:rsidRDefault="002A3AEF" w:rsidP="002A3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реализованных и планируемых к реализации мероприятий, направленных на улучшение инвестиционной привлекательности муниципального образования: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7"/>
        <w:gridCol w:w="2658"/>
        <w:gridCol w:w="3875"/>
        <w:gridCol w:w="2385"/>
      </w:tblGrid>
      <w:tr w:rsidR="002A3AEF" w:rsidTr="008C65C1">
        <w:trPr>
          <w:trHeight w:val="222"/>
        </w:trPr>
        <w:tc>
          <w:tcPr>
            <w:tcW w:w="427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0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171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455" w:type="dxa"/>
          </w:tcPr>
          <w:p w:rsidR="002A3AEF" w:rsidRDefault="002A3AEF" w:rsidP="008C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A3AEF" w:rsidTr="008C65C1">
        <w:tc>
          <w:tcPr>
            <w:tcW w:w="427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автомобильной дороги </w:t>
            </w:r>
          </w:p>
        </w:tc>
        <w:tc>
          <w:tcPr>
            <w:tcW w:w="4171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r w:rsidRPr="00AC71A4">
              <w:rPr>
                <w:rFonts w:ascii="Times New Roman" w:hAnsi="Times New Roman" w:cs="Times New Roman"/>
              </w:rPr>
              <w:t>Афанасьево-граница Верхнекамского района общей протяженностью 1,425 км</w:t>
            </w:r>
          </w:p>
        </w:tc>
        <w:tc>
          <w:tcPr>
            <w:tcW w:w="2455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Отремонтирована автомобильная дорога </w:t>
            </w:r>
            <w:r w:rsidRPr="00AC71A4">
              <w:rPr>
                <w:rFonts w:ascii="Times New Roman" w:hAnsi="Times New Roman" w:cs="Times New Roman"/>
              </w:rPr>
              <w:t xml:space="preserve">Афанасьево-граница Верхнекамского района общей протяженностью 1,425 км (в районе д. </w:t>
            </w:r>
            <w:proofErr w:type="spellStart"/>
            <w:r w:rsidRPr="00AC71A4">
              <w:rPr>
                <w:rFonts w:ascii="Times New Roman" w:hAnsi="Times New Roman" w:cs="Times New Roman"/>
              </w:rPr>
              <w:t>Ожегино</w:t>
            </w:r>
            <w:proofErr w:type="spellEnd"/>
            <w:r w:rsidRPr="00AC71A4">
              <w:rPr>
                <w:rFonts w:ascii="Times New Roman" w:hAnsi="Times New Roman" w:cs="Times New Roman"/>
              </w:rPr>
              <w:t xml:space="preserve">) на сумму – 22095,8 тыс. рублей из них областной бюджет – 22031,0 тыс. рублей и </w:t>
            </w:r>
            <w:r w:rsidRPr="00AC71A4">
              <w:rPr>
                <w:rFonts w:ascii="Times New Roman" w:hAnsi="Times New Roman" w:cs="Times New Roman"/>
              </w:rPr>
              <w:lastRenderedPageBreak/>
              <w:t>местный бюджет – 64,8 тыс. рублей;</w:t>
            </w:r>
          </w:p>
        </w:tc>
      </w:tr>
      <w:tr w:rsidR="002A3AEF" w:rsidTr="008C65C1">
        <w:tc>
          <w:tcPr>
            <w:tcW w:w="427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0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 w:rsidRPr="00AC71A4">
              <w:rPr>
                <w:rFonts w:ascii="Times New Roman" w:hAnsi="Times New Roman" w:cs="Times New Roman"/>
              </w:rPr>
              <w:t xml:space="preserve">Ремонт водопроводной сети </w:t>
            </w:r>
          </w:p>
        </w:tc>
        <w:tc>
          <w:tcPr>
            <w:tcW w:w="4171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 w:rsidRPr="00AC71A4">
              <w:rPr>
                <w:rFonts w:ascii="Times New Roman" w:hAnsi="Times New Roman" w:cs="Times New Roman"/>
              </w:rPr>
              <w:t>Ремонт водопроводной сети по ул. Кирова, с. Бисерово</w:t>
            </w:r>
            <w:r>
              <w:rPr>
                <w:rFonts w:ascii="Times New Roman" w:hAnsi="Times New Roman" w:cs="Times New Roman"/>
              </w:rPr>
              <w:t xml:space="preserve"> протяженностью 140 метров</w:t>
            </w:r>
            <w:r w:rsidRPr="00AC7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5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</w:t>
            </w:r>
            <w:r w:rsidRPr="00AC71A4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ирована</w:t>
            </w:r>
            <w:r w:rsidRPr="00AC71A4">
              <w:rPr>
                <w:rFonts w:ascii="Times New Roman" w:hAnsi="Times New Roman" w:cs="Times New Roman"/>
              </w:rPr>
              <w:t xml:space="preserve"> водопроводн</w:t>
            </w:r>
            <w:r>
              <w:rPr>
                <w:rFonts w:ascii="Times New Roman" w:hAnsi="Times New Roman" w:cs="Times New Roman"/>
              </w:rPr>
              <w:t>ая</w:t>
            </w:r>
            <w:r w:rsidRPr="00AC71A4">
              <w:rPr>
                <w:rFonts w:ascii="Times New Roman" w:hAnsi="Times New Roman" w:cs="Times New Roman"/>
              </w:rPr>
              <w:t xml:space="preserve"> сет</w:t>
            </w:r>
            <w:r>
              <w:rPr>
                <w:rFonts w:ascii="Times New Roman" w:hAnsi="Times New Roman" w:cs="Times New Roman"/>
              </w:rPr>
              <w:t>ь</w:t>
            </w:r>
            <w:r w:rsidRPr="00AC71A4">
              <w:rPr>
                <w:rFonts w:ascii="Times New Roman" w:hAnsi="Times New Roman" w:cs="Times New Roman"/>
              </w:rPr>
              <w:t xml:space="preserve"> по ул. Кирова, с. Бисерово</w:t>
            </w:r>
            <w:r>
              <w:rPr>
                <w:rFonts w:ascii="Times New Roman" w:hAnsi="Times New Roman" w:cs="Times New Roman"/>
              </w:rPr>
              <w:t xml:space="preserve"> протяженностью 140 метров</w:t>
            </w:r>
            <w:r w:rsidRPr="00AC71A4">
              <w:rPr>
                <w:rFonts w:ascii="Times New Roman" w:hAnsi="Times New Roman" w:cs="Times New Roman"/>
              </w:rPr>
              <w:t xml:space="preserve"> на сумму 304,727 тыс. рублей, в том числе областной бюджет – 154,932 тыс. рублей, бюджет округа – 149,794 тыс. рублей.</w:t>
            </w:r>
          </w:p>
        </w:tc>
      </w:tr>
      <w:tr w:rsidR="002A3AEF" w:rsidTr="008C65C1">
        <w:tc>
          <w:tcPr>
            <w:tcW w:w="427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2A3AEF" w:rsidRPr="00AC71A4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 w:rsidRPr="009716E3">
              <w:rPr>
                <w:rFonts w:ascii="Times New Roman" w:hAnsi="Times New Roman" w:cs="Times New Roman"/>
              </w:rPr>
              <w:t xml:space="preserve">Ремонт водопроводной сети </w:t>
            </w:r>
          </w:p>
        </w:tc>
        <w:tc>
          <w:tcPr>
            <w:tcW w:w="4171" w:type="dxa"/>
          </w:tcPr>
          <w:p w:rsidR="002A3AEF" w:rsidRDefault="002A3AEF" w:rsidP="008C65C1">
            <w:r w:rsidRPr="00337C07">
              <w:rPr>
                <w:rFonts w:ascii="Times New Roman" w:hAnsi="Times New Roman" w:cs="Times New Roman"/>
              </w:rPr>
              <w:t xml:space="preserve">Ремонт водопроводной сети </w:t>
            </w:r>
            <w:proofErr w:type="spellStart"/>
            <w:r w:rsidRPr="00337C07">
              <w:rPr>
                <w:rFonts w:ascii="Times New Roman" w:hAnsi="Times New Roman" w:cs="Times New Roman"/>
              </w:rPr>
              <w:t>пгт</w:t>
            </w:r>
            <w:proofErr w:type="spellEnd"/>
            <w:r w:rsidRPr="00337C07">
              <w:rPr>
                <w:rFonts w:ascii="Times New Roman" w:hAnsi="Times New Roman" w:cs="Times New Roman"/>
              </w:rPr>
              <w:t xml:space="preserve"> Афанасьево </w:t>
            </w:r>
          </w:p>
        </w:tc>
        <w:tc>
          <w:tcPr>
            <w:tcW w:w="2455" w:type="dxa"/>
          </w:tcPr>
          <w:p w:rsidR="002A3AEF" w:rsidRDefault="002A3AEF" w:rsidP="008C65C1">
            <w:r>
              <w:rPr>
                <w:rFonts w:ascii="Times New Roman" w:hAnsi="Times New Roman" w:cs="Times New Roman"/>
              </w:rPr>
              <w:t>Отр</w:t>
            </w:r>
            <w:r w:rsidRPr="00337C07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ирована</w:t>
            </w:r>
            <w:r w:rsidRPr="00337C07">
              <w:rPr>
                <w:rFonts w:ascii="Times New Roman" w:hAnsi="Times New Roman" w:cs="Times New Roman"/>
              </w:rPr>
              <w:t xml:space="preserve"> водопроводн</w:t>
            </w:r>
            <w:r>
              <w:rPr>
                <w:rFonts w:ascii="Times New Roman" w:hAnsi="Times New Roman" w:cs="Times New Roman"/>
              </w:rPr>
              <w:t>ая сеть</w:t>
            </w:r>
            <w:r w:rsidRPr="00337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07">
              <w:rPr>
                <w:rFonts w:ascii="Times New Roman" w:hAnsi="Times New Roman" w:cs="Times New Roman"/>
              </w:rPr>
              <w:t>пгт</w:t>
            </w:r>
            <w:proofErr w:type="spellEnd"/>
            <w:r w:rsidRPr="00337C07">
              <w:rPr>
                <w:rFonts w:ascii="Times New Roman" w:hAnsi="Times New Roman" w:cs="Times New Roman"/>
              </w:rPr>
              <w:t xml:space="preserve"> Афанасьево на сумму 99,891 тыс. рублей</w:t>
            </w:r>
          </w:p>
        </w:tc>
      </w:tr>
      <w:tr w:rsidR="002A3AEF" w:rsidTr="008C65C1">
        <w:tc>
          <w:tcPr>
            <w:tcW w:w="427" w:type="dxa"/>
          </w:tcPr>
          <w:p w:rsidR="002A3AEF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2A3AEF" w:rsidRPr="00AC71A4" w:rsidRDefault="002A3AEF" w:rsidP="008C65C1">
            <w:pPr>
              <w:jc w:val="both"/>
              <w:rPr>
                <w:rFonts w:ascii="Times New Roman" w:hAnsi="Times New Roman" w:cs="Times New Roman"/>
              </w:rPr>
            </w:pPr>
            <w:r w:rsidRPr="009716E3">
              <w:rPr>
                <w:rFonts w:ascii="Times New Roman" w:hAnsi="Times New Roman" w:cs="Times New Roman"/>
              </w:rPr>
              <w:t xml:space="preserve">Устройство уличного освещения </w:t>
            </w:r>
          </w:p>
        </w:tc>
        <w:tc>
          <w:tcPr>
            <w:tcW w:w="4171" w:type="dxa"/>
          </w:tcPr>
          <w:p w:rsidR="002A3AEF" w:rsidRDefault="002A3AEF" w:rsidP="008C65C1">
            <w:r w:rsidRPr="006E0E70">
              <w:rPr>
                <w:rFonts w:ascii="Times New Roman" w:hAnsi="Times New Roman" w:cs="Times New Roman"/>
              </w:rPr>
              <w:t xml:space="preserve">Устройство уличного освещения д. </w:t>
            </w:r>
            <w:proofErr w:type="spellStart"/>
            <w:r w:rsidRPr="006E0E70">
              <w:rPr>
                <w:rFonts w:ascii="Times New Roman" w:hAnsi="Times New Roman" w:cs="Times New Roman"/>
              </w:rPr>
              <w:t>Конкины</w:t>
            </w:r>
            <w:proofErr w:type="spellEnd"/>
            <w:r w:rsidRPr="006E0E70">
              <w:rPr>
                <w:rFonts w:ascii="Times New Roman" w:hAnsi="Times New Roman" w:cs="Times New Roman"/>
              </w:rPr>
              <w:t xml:space="preserve"> и д. Ичетовкины,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E70">
              <w:rPr>
                <w:rFonts w:ascii="Times New Roman" w:hAnsi="Times New Roman" w:cs="Times New Roman"/>
              </w:rPr>
              <w:t xml:space="preserve">Советский </w:t>
            </w:r>
          </w:p>
        </w:tc>
        <w:tc>
          <w:tcPr>
            <w:tcW w:w="2455" w:type="dxa"/>
          </w:tcPr>
          <w:p w:rsidR="002A3AEF" w:rsidRDefault="002A3AEF" w:rsidP="008C65C1">
            <w:r>
              <w:rPr>
                <w:rFonts w:ascii="Times New Roman" w:hAnsi="Times New Roman" w:cs="Times New Roman"/>
              </w:rPr>
              <w:t>Обустроено</w:t>
            </w:r>
            <w:r w:rsidRPr="006E0E70">
              <w:rPr>
                <w:rFonts w:ascii="Times New Roman" w:hAnsi="Times New Roman" w:cs="Times New Roman"/>
              </w:rPr>
              <w:t xml:space="preserve"> улично</w:t>
            </w:r>
            <w:r>
              <w:rPr>
                <w:rFonts w:ascii="Times New Roman" w:hAnsi="Times New Roman" w:cs="Times New Roman"/>
              </w:rPr>
              <w:t>е освещение</w:t>
            </w:r>
            <w:r w:rsidRPr="006E0E7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6E0E70">
              <w:rPr>
                <w:rFonts w:ascii="Times New Roman" w:hAnsi="Times New Roman" w:cs="Times New Roman"/>
              </w:rPr>
              <w:t>Конкины</w:t>
            </w:r>
            <w:proofErr w:type="spellEnd"/>
            <w:r w:rsidRPr="006E0E70">
              <w:rPr>
                <w:rFonts w:ascii="Times New Roman" w:hAnsi="Times New Roman" w:cs="Times New Roman"/>
              </w:rPr>
              <w:t xml:space="preserve"> и д. Ичетовкины,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E70">
              <w:rPr>
                <w:rFonts w:ascii="Times New Roman" w:hAnsi="Times New Roman" w:cs="Times New Roman"/>
              </w:rPr>
              <w:t>Советский на сумму 422,76 тысяч рублей</w:t>
            </w:r>
          </w:p>
        </w:tc>
      </w:tr>
    </w:tbl>
    <w:p w:rsidR="002A3AEF" w:rsidRDefault="002A3AEF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</w:p>
    <w:p w:rsidR="006B01AF" w:rsidRPr="006B01AF" w:rsidRDefault="006B01AF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6B01AF">
        <w:rPr>
          <w:sz w:val="28"/>
          <w:szCs w:val="28"/>
        </w:rPr>
        <w:t xml:space="preserve">Инвестиционная деятельность на территории </w:t>
      </w:r>
      <w:r>
        <w:rPr>
          <w:sz w:val="28"/>
          <w:szCs w:val="28"/>
        </w:rPr>
        <w:t>Афанасьевского муниципального</w:t>
      </w:r>
      <w:r w:rsidRPr="006B01AF">
        <w:rPr>
          <w:sz w:val="28"/>
          <w:szCs w:val="28"/>
        </w:rPr>
        <w:t xml:space="preserve"> округа является одним из ключевых направлений деятельности инвестиционного уполномоченного. От уровня делового климата и инвестиционной привлекательности территории зависит уровень ее социально</w:t>
      </w:r>
      <w:r>
        <w:rPr>
          <w:sz w:val="28"/>
          <w:szCs w:val="28"/>
        </w:rPr>
        <w:t>-</w:t>
      </w:r>
      <w:r w:rsidRPr="006B01AF">
        <w:rPr>
          <w:sz w:val="28"/>
          <w:szCs w:val="28"/>
        </w:rPr>
        <w:t xml:space="preserve">экономического развития, комфортная жизнь жителей </w:t>
      </w:r>
      <w:r>
        <w:rPr>
          <w:sz w:val="28"/>
          <w:szCs w:val="28"/>
        </w:rPr>
        <w:t>о</w:t>
      </w:r>
      <w:r w:rsidRPr="006B01AF">
        <w:rPr>
          <w:sz w:val="28"/>
          <w:szCs w:val="28"/>
        </w:rPr>
        <w:t>круга.</w:t>
      </w:r>
    </w:p>
    <w:p w:rsidR="006B01AF" w:rsidRPr="006B01AF" w:rsidRDefault="006B01AF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6B01AF">
        <w:rPr>
          <w:sz w:val="28"/>
          <w:szCs w:val="28"/>
        </w:rPr>
        <w:t xml:space="preserve">Инвестиционный уполномоченный </w:t>
      </w:r>
      <w:r>
        <w:rPr>
          <w:sz w:val="28"/>
          <w:szCs w:val="28"/>
        </w:rPr>
        <w:t>Афанасьевского муниципального</w:t>
      </w:r>
      <w:r w:rsidRPr="006B01AF">
        <w:rPr>
          <w:sz w:val="28"/>
          <w:szCs w:val="28"/>
        </w:rPr>
        <w:t xml:space="preserve"> округа готов рассмотреть инвестиционные предложения инвесторов и оказать содействие инвесторам в предоставлении в установленном порядке муниципальной поддержки.</w:t>
      </w:r>
    </w:p>
    <w:p w:rsidR="00F4230E" w:rsidRDefault="006B01AF" w:rsidP="004A33E8">
      <w:pPr>
        <w:pStyle w:val="6"/>
        <w:spacing w:after="0" w:line="317" w:lineRule="exact"/>
        <w:ind w:left="20" w:right="-1" w:firstLine="720"/>
        <w:jc w:val="both"/>
        <w:rPr>
          <w:sz w:val="28"/>
          <w:szCs w:val="28"/>
        </w:rPr>
      </w:pPr>
      <w:r w:rsidRPr="006B01AF">
        <w:rPr>
          <w:sz w:val="28"/>
          <w:szCs w:val="28"/>
        </w:rPr>
        <w:t xml:space="preserve">Мероприятия по повышению инвестиционной привлекательности </w:t>
      </w:r>
      <w:r>
        <w:rPr>
          <w:sz w:val="28"/>
          <w:szCs w:val="28"/>
        </w:rPr>
        <w:t>Афанасьевского муниципального</w:t>
      </w:r>
      <w:r w:rsidRPr="006B01AF">
        <w:rPr>
          <w:sz w:val="28"/>
          <w:szCs w:val="28"/>
        </w:rPr>
        <w:t xml:space="preserve"> округа продолжа</w:t>
      </w:r>
      <w:r>
        <w:rPr>
          <w:sz w:val="28"/>
          <w:szCs w:val="28"/>
        </w:rPr>
        <w:t>тся</w:t>
      </w:r>
      <w:r w:rsidRPr="006B01AF">
        <w:rPr>
          <w:sz w:val="28"/>
          <w:szCs w:val="28"/>
        </w:rPr>
        <w:t>.</w:t>
      </w:r>
      <w:bookmarkStart w:id="0" w:name="_GoBack"/>
      <w:bookmarkEnd w:id="0"/>
    </w:p>
    <w:sectPr w:rsidR="00F4230E" w:rsidSect="00725F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CC"/>
    <w:rsid w:val="00046B0E"/>
    <w:rsid w:val="0005424A"/>
    <w:rsid w:val="00065ACF"/>
    <w:rsid w:val="000A61C6"/>
    <w:rsid w:val="00155AA1"/>
    <w:rsid w:val="001B1981"/>
    <w:rsid w:val="001B21D4"/>
    <w:rsid w:val="001D5ACB"/>
    <w:rsid w:val="00201144"/>
    <w:rsid w:val="002A3AEF"/>
    <w:rsid w:val="003C268F"/>
    <w:rsid w:val="004552DC"/>
    <w:rsid w:val="00457836"/>
    <w:rsid w:val="00493A15"/>
    <w:rsid w:val="004A33E8"/>
    <w:rsid w:val="004E018E"/>
    <w:rsid w:val="00533554"/>
    <w:rsid w:val="005446A0"/>
    <w:rsid w:val="00575D4D"/>
    <w:rsid w:val="005B0204"/>
    <w:rsid w:val="006532DA"/>
    <w:rsid w:val="00655DEE"/>
    <w:rsid w:val="006A06F5"/>
    <w:rsid w:val="006B01AF"/>
    <w:rsid w:val="006B55FB"/>
    <w:rsid w:val="00725F71"/>
    <w:rsid w:val="00761695"/>
    <w:rsid w:val="007B5A12"/>
    <w:rsid w:val="007F3F3D"/>
    <w:rsid w:val="00807BFE"/>
    <w:rsid w:val="008A350B"/>
    <w:rsid w:val="009B06CA"/>
    <w:rsid w:val="009C02FF"/>
    <w:rsid w:val="00A01C1F"/>
    <w:rsid w:val="00A34981"/>
    <w:rsid w:val="00A40108"/>
    <w:rsid w:val="00AD2361"/>
    <w:rsid w:val="00B14512"/>
    <w:rsid w:val="00B16795"/>
    <w:rsid w:val="00B53FAE"/>
    <w:rsid w:val="00BB759D"/>
    <w:rsid w:val="00C72A68"/>
    <w:rsid w:val="00C92D53"/>
    <w:rsid w:val="00CC1A26"/>
    <w:rsid w:val="00CD008B"/>
    <w:rsid w:val="00CF3ACC"/>
    <w:rsid w:val="00DA107D"/>
    <w:rsid w:val="00DA3747"/>
    <w:rsid w:val="00DA38DC"/>
    <w:rsid w:val="00DB3CE3"/>
    <w:rsid w:val="00E55788"/>
    <w:rsid w:val="00E83088"/>
    <w:rsid w:val="00EA41EC"/>
    <w:rsid w:val="00ED706C"/>
    <w:rsid w:val="00EF0BAC"/>
    <w:rsid w:val="00EF34EF"/>
    <w:rsid w:val="00F34AC4"/>
    <w:rsid w:val="00F4230E"/>
    <w:rsid w:val="00F43669"/>
    <w:rsid w:val="00F62F6B"/>
    <w:rsid w:val="00FB62BD"/>
    <w:rsid w:val="00FE203A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11023-CEEC-42D3-BFFB-2C37803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26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6"/>
    <w:rsid w:val="00046B0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046B0E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046B0E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046B0E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046B0E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046B0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3">
    <w:name w:val="Основной текст3"/>
    <w:basedOn w:val="a4"/>
    <w:rsid w:val="00C72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11pt">
    <w:name w:val="Основной текст + 11 pt;Полужирный"/>
    <w:basedOn w:val="a4"/>
    <w:rsid w:val="00C72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5pt0pt">
    <w:name w:val="Основной текст + 11;5 pt;Полужирный;Интервал 0 pt"/>
    <w:basedOn w:val="a4"/>
    <w:rsid w:val="00C72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2pt0pt">
    <w:name w:val="Основной текст + 12 pt;Интервал 0 pt"/>
    <w:basedOn w:val="a4"/>
    <w:rsid w:val="00C72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8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A107D"/>
    <w:rPr>
      <w:color w:val="954F72" w:themeColor="followedHyperlink"/>
      <w:u w:val="single"/>
    </w:rPr>
  </w:style>
  <w:style w:type="table" w:styleId="a8">
    <w:name w:val="Table Grid"/>
    <w:basedOn w:val="a1"/>
    <w:uiPriority w:val="59"/>
    <w:rsid w:val="002A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fanasyevo.gosuslugi.ru/deyatelnost/napravleniya-deyatelnosti/ekonomika/razvitie-konkuren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anasyevo.gosuslugi.ru/deyatelnost/napravleniya-deyatelnosti/ekonomika/razvitie-konkurentsii/" TargetMode="External"/><Relationship Id="rId5" Type="http://schemas.openxmlformats.org/officeDocument/2006/relationships/hyperlink" Target="mailto:admAfan@kirovreg.ru" TargetMode="External"/><Relationship Id="rId4" Type="http://schemas.openxmlformats.org/officeDocument/2006/relationships/hyperlink" Target="https://afanasyevo.gosuslugi.ru/deyatelnost/napravleniya-deyatelnosti/ekonomika/investitsionnaya-deyatelno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2024-07-08T12:16:00Z</cp:lastPrinted>
  <dcterms:created xsi:type="dcterms:W3CDTF">2025-04-22T07:44:00Z</dcterms:created>
  <dcterms:modified xsi:type="dcterms:W3CDTF">2025-04-22T07:44:00Z</dcterms:modified>
</cp:coreProperties>
</file>