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E61D" w14:textId="77777777" w:rsidR="005A6A45" w:rsidRPr="00C27079" w:rsidRDefault="005A6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C27079">
        <w:rPr>
          <w:rFonts w:ascii="Times New Roman" w:hAnsi="Times New Roman" w:cs="Times New Roman"/>
          <w:b/>
          <w:sz w:val="32"/>
          <w:szCs w:val="32"/>
        </w:rPr>
        <w:t>СНОВНЫЕ НАПРАВЛЕНИЯ</w:t>
      </w:r>
    </w:p>
    <w:p w14:paraId="6758973D" w14:textId="2675DC2D" w:rsidR="005A6A45" w:rsidRDefault="00416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079">
        <w:rPr>
          <w:rFonts w:ascii="Times New Roman" w:hAnsi="Times New Roman" w:cs="Times New Roman"/>
          <w:b/>
          <w:sz w:val="32"/>
          <w:szCs w:val="32"/>
        </w:rPr>
        <w:t xml:space="preserve">БЮДЖЕТНОЙ </w:t>
      </w:r>
      <w:r w:rsidR="005A6A45" w:rsidRPr="00C27079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C27079">
        <w:rPr>
          <w:rFonts w:ascii="Times New Roman" w:hAnsi="Times New Roman" w:cs="Times New Roman"/>
          <w:b/>
          <w:sz w:val="32"/>
          <w:szCs w:val="32"/>
        </w:rPr>
        <w:t>НАЛОГОВОЙ</w:t>
      </w:r>
      <w:r w:rsidR="005A6A45" w:rsidRPr="00C27079">
        <w:rPr>
          <w:rFonts w:ascii="Times New Roman" w:hAnsi="Times New Roman" w:cs="Times New Roman"/>
          <w:b/>
          <w:sz w:val="32"/>
          <w:szCs w:val="32"/>
        </w:rPr>
        <w:t xml:space="preserve"> ПОЛИТИКИ</w:t>
      </w:r>
    </w:p>
    <w:p w14:paraId="159595C3" w14:textId="61FDD6BD" w:rsidR="00416730" w:rsidRDefault="005A6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  <w:r w:rsidR="00416730">
        <w:rPr>
          <w:rFonts w:ascii="Times New Roman" w:hAnsi="Times New Roman" w:cs="Times New Roman"/>
          <w:b/>
          <w:sz w:val="32"/>
          <w:szCs w:val="32"/>
        </w:rPr>
        <w:t>АФАНАСЬЕВСКИЙ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МУНИЦИПАЛЬНЫЙ ОКРУГ КИРОВСКОЙ ОБЛАСТИ</w:t>
      </w:r>
      <w:r w:rsidRPr="00C270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C27079">
        <w:rPr>
          <w:rFonts w:ascii="Times New Roman" w:hAnsi="Times New Roman" w:cs="Times New Roman"/>
          <w:b/>
          <w:caps/>
          <w:sz w:val="32"/>
          <w:szCs w:val="32"/>
        </w:rPr>
        <w:t>НА 202</w:t>
      </w:r>
      <w:r w:rsidR="00EB3236">
        <w:rPr>
          <w:rFonts w:ascii="Times New Roman" w:hAnsi="Times New Roman" w:cs="Times New Roman"/>
          <w:b/>
          <w:caps/>
          <w:sz w:val="32"/>
          <w:szCs w:val="32"/>
        </w:rPr>
        <w:t>5</w:t>
      </w:r>
      <w:r w:rsidRPr="00C27079">
        <w:rPr>
          <w:rFonts w:ascii="Times New Roman" w:hAnsi="Times New Roman" w:cs="Times New Roman"/>
          <w:b/>
          <w:caps/>
          <w:sz w:val="32"/>
          <w:szCs w:val="32"/>
        </w:rPr>
        <w:t xml:space="preserve"> ГОД И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C27079">
        <w:rPr>
          <w:rFonts w:ascii="Times New Roman" w:hAnsi="Times New Roman" w:cs="Times New Roman"/>
          <w:b/>
          <w:caps/>
          <w:sz w:val="32"/>
          <w:szCs w:val="32"/>
        </w:rPr>
        <w:t xml:space="preserve">НА ПЛАНОВЫЙ ПЕРИОД </w:t>
      </w:r>
    </w:p>
    <w:p w14:paraId="4CAEDB8C" w14:textId="7F12F633" w:rsidR="005A6A45" w:rsidRPr="00C27079" w:rsidRDefault="005A6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27079">
        <w:rPr>
          <w:rFonts w:ascii="Times New Roman" w:hAnsi="Times New Roman" w:cs="Times New Roman"/>
          <w:b/>
          <w:caps/>
          <w:sz w:val="32"/>
          <w:szCs w:val="32"/>
        </w:rPr>
        <w:t>202</w:t>
      </w:r>
      <w:r w:rsidR="00EB3236">
        <w:rPr>
          <w:rFonts w:ascii="Times New Roman" w:hAnsi="Times New Roman" w:cs="Times New Roman"/>
          <w:b/>
          <w:caps/>
          <w:sz w:val="32"/>
          <w:szCs w:val="32"/>
        </w:rPr>
        <w:t>6</w:t>
      </w:r>
      <w:r w:rsidRPr="00C27079">
        <w:rPr>
          <w:rFonts w:ascii="Times New Roman" w:hAnsi="Times New Roman" w:cs="Times New Roman"/>
          <w:b/>
          <w:caps/>
          <w:sz w:val="32"/>
          <w:szCs w:val="32"/>
        </w:rPr>
        <w:t xml:space="preserve"> И 202</w:t>
      </w:r>
      <w:r w:rsidR="00EB3236">
        <w:rPr>
          <w:rFonts w:ascii="Times New Roman" w:hAnsi="Times New Roman" w:cs="Times New Roman"/>
          <w:b/>
          <w:caps/>
          <w:sz w:val="32"/>
          <w:szCs w:val="32"/>
        </w:rPr>
        <w:t>7</w:t>
      </w:r>
      <w:r w:rsidR="00416730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C27079">
        <w:rPr>
          <w:rFonts w:ascii="Times New Roman" w:hAnsi="Times New Roman" w:cs="Times New Roman"/>
          <w:b/>
          <w:caps/>
          <w:sz w:val="32"/>
          <w:szCs w:val="32"/>
        </w:rPr>
        <w:t>ГОДОВ</w:t>
      </w:r>
    </w:p>
    <w:p w14:paraId="6B296246" w14:textId="77777777" w:rsidR="005A6A45" w:rsidRDefault="005A6A45" w:rsidP="002D6BD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DABFE28" w14:textId="2278F5A9" w:rsidR="005A6A45" w:rsidRDefault="005A6A45" w:rsidP="00DC14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6BDC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416730" w:rsidRPr="002D6BDC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416730">
        <w:rPr>
          <w:rFonts w:ascii="Times New Roman" w:hAnsi="Times New Roman" w:cs="Times New Roman"/>
          <w:sz w:val="28"/>
          <w:szCs w:val="28"/>
        </w:rPr>
        <w:t xml:space="preserve">и </w:t>
      </w:r>
      <w:r w:rsidRPr="002D6BDC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3138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6730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8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6B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3236">
        <w:rPr>
          <w:rFonts w:ascii="Times New Roman" w:hAnsi="Times New Roman" w:cs="Times New Roman"/>
          <w:sz w:val="28"/>
          <w:szCs w:val="28"/>
        </w:rPr>
        <w:t>5</w:t>
      </w:r>
      <w:r w:rsidRPr="002D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3236">
        <w:rPr>
          <w:rFonts w:ascii="Times New Roman" w:hAnsi="Times New Roman" w:cs="Times New Roman"/>
          <w:sz w:val="28"/>
          <w:szCs w:val="28"/>
        </w:rPr>
        <w:t>6</w:t>
      </w:r>
      <w:r w:rsidRPr="002D6BDC">
        <w:rPr>
          <w:rFonts w:ascii="Times New Roman" w:hAnsi="Times New Roman" w:cs="Times New Roman"/>
          <w:sz w:val="28"/>
          <w:szCs w:val="28"/>
        </w:rPr>
        <w:t xml:space="preserve"> и 202</w:t>
      </w:r>
      <w:r w:rsidR="00EB3236">
        <w:rPr>
          <w:rFonts w:ascii="Times New Roman" w:hAnsi="Times New Roman" w:cs="Times New Roman"/>
          <w:sz w:val="28"/>
          <w:szCs w:val="28"/>
        </w:rPr>
        <w:t>7</w:t>
      </w:r>
      <w:r w:rsidRPr="002D6BD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A4AD1">
        <w:rPr>
          <w:rFonts w:ascii="Times New Roman" w:hAnsi="Times New Roman" w:cs="Times New Roman"/>
          <w:sz w:val="28"/>
          <w:szCs w:val="28"/>
        </w:rPr>
        <w:t xml:space="preserve">обеспечивают преемственность целей </w:t>
      </w:r>
      <w:r w:rsidR="003721F8">
        <w:rPr>
          <w:rFonts w:ascii="Times New Roman" w:hAnsi="Times New Roman" w:cs="Times New Roman"/>
          <w:sz w:val="28"/>
          <w:szCs w:val="28"/>
        </w:rPr>
        <w:t>бюджетной</w:t>
      </w:r>
      <w:r w:rsidR="003721F8">
        <w:rPr>
          <w:rFonts w:ascii="Times New Roman" w:hAnsi="Times New Roman" w:cs="Times New Roman"/>
          <w:sz w:val="28"/>
          <w:szCs w:val="28"/>
        </w:rPr>
        <w:t xml:space="preserve"> и </w:t>
      </w:r>
      <w:r w:rsidR="00CA4AD1">
        <w:rPr>
          <w:rFonts w:ascii="Times New Roman" w:hAnsi="Times New Roman" w:cs="Times New Roman"/>
          <w:sz w:val="28"/>
          <w:szCs w:val="28"/>
        </w:rPr>
        <w:t xml:space="preserve">налоговой политики, определенных в предшествующем периоде, и разработаны в целях определения подходов, используемых при составлении проекта бюджета муниципального округа </w:t>
      </w:r>
      <w:r w:rsidR="00CA4AD1" w:rsidRPr="002D6BDC">
        <w:rPr>
          <w:rFonts w:ascii="Times New Roman" w:hAnsi="Times New Roman" w:cs="Times New Roman"/>
          <w:sz w:val="28"/>
          <w:szCs w:val="28"/>
        </w:rPr>
        <w:t>на 202</w:t>
      </w:r>
      <w:r w:rsidR="00CA4AD1">
        <w:rPr>
          <w:rFonts w:ascii="Times New Roman" w:hAnsi="Times New Roman" w:cs="Times New Roman"/>
          <w:sz w:val="28"/>
          <w:szCs w:val="28"/>
        </w:rPr>
        <w:t>5</w:t>
      </w:r>
      <w:r w:rsidR="00CA4AD1" w:rsidRPr="002D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4AD1">
        <w:rPr>
          <w:rFonts w:ascii="Times New Roman" w:hAnsi="Times New Roman" w:cs="Times New Roman"/>
          <w:sz w:val="28"/>
          <w:szCs w:val="28"/>
        </w:rPr>
        <w:t>6</w:t>
      </w:r>
      <w:r w:rsidR="00CA4AD1" w:rsidRPr="002D6BDC">
        <w:rPr>
          <w:rFonts w:ascii="Times New Roman" w:hAnsi="Times New Roman" w:cs="Times New Roman"/>
          <w:sz w:val="28"/>
          <w:szCs w:val="28"/>
        </w:rPr>
        <w:t xml:space="preserve"> и 202</w:t>
      </w:r>
      <w:r w:rsidR="00CA4AD1">
        <w:rPr>
          <w:rFonts w:ascii="Times New Roman" w:hAnsi="Times New Roman" w:cs="Times New Roman"/>
          <w:sz w:val="28"/>
          <w:szCs w:val="28"/>
        </w:rPr>
        <w:t>7</w:t>
      </w:r>
      <w:r w:rsidR="00CA4AD1" w:rsidRPr="002D6BD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D6B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C1BF1" w14:textId="69D447D7" w:rsidR="00CA4AD1" w:rsidRDefault="00CA4AD1" w:rsidP="00DC14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основных направлений </w:t>
      </w:r>
      <w:r w:rsidR="003721F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3721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налоговой политики</w:t>
      </w:r>
      <w:r w:rsidR="00630440">
        <w:rPr>
          <w:rFonts w:ascii="Times New Roman" w:hAnsi="Times New Roman" w:cs="Times New Roman"/>
          <w:sz w:val="28"/>
          <w:szCs w:val="28"/>
        </w:rPr>
        <w:t xml:space="preserve"> учтены основные положения:</w:t>
      </w:r>
    </w:p>
    <w:p w14:paraId="31AC5058" w14:textId="5399FF77" w:rsidR="00630440" w:rsidRDefault="00630440" w:rsidP="00DC14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Послание Президента Российской Федерации Федеральному собранию Российской Федерации;</w:t>
      </w:r>
    </w:p>
    <w:p w14:paraId="55EA5F55" w14:textId="793EDB5F" w:rsidR="00630440" w:rsidRDefault="00630440" w:rsidP="00DC14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Послание Губернатора Кировской области о социально-экономическом положении Кировской области;</w:t>
      </w:r>
    </w:p>
    <w:p w14:paraId="7B72C6EA" w14:textId="2ED71CBC" w:rsidR="00630440" w:rsidRDefault="00630440" w:rsidP="00DC14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 Российской Федерации от 07.05.2024 №309 «О национальных целях развития Российской Федерации на период до 2030 года и на перспективу до 2036 года»;</w:t>
      </w:r>
    </w:p>
    <w:p w14:paraId="0D762BFF" w14:textId="204734ED" w:rsidR="00630440" w:rsidRDefault="00630440" w:rsidP="00DC14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</w:t>
      </w:r>
      <w:r w:rsidR="004503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мерах по социально-экономическому развитию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оздоровлению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финансов;</w:t>
      </w:r>
    </w:p>
    <w:p w14:paraId="1639C86C" w14:textId="0D327F0A" w:rsidR="00630440" w:rsidRDefault="00630440" w:rsidP="00DC14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Афанасьевского муниципального округа на 2025 год и на плановый период 2026 и 2027 годов.</w:t>
      </w:r>
    </w:p>
    <w:p w14:paraId="65404DA4" w14:textId="6EEF7074" w:rsidR="003721F8" w:rsidRDefault="003721F8" w:rsidP="00DC14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819633B" w14:textId="43AE75F3" w:rsidR="003721F8" w:rsidRPr="003721F8" w:rsidRDefault="003721F8" w:rsidP="003721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1F8">
        <w:rPr>
          <w:rFonts w:ascii="Times New Roman" w:hAnsi="Times New Roman"/>
          <w:b/>
          <w:sz w:val="28"/>
          <w:szCs w:val="28"/>
        </w:rPr>
        <w:t>ОСНОВНЫЕ НАПРАВЛЕНИЯ БЮДЖЕТНОЙ ПОЛИТИКИ</w:t>
      </w:r>
    </w:p>
    <w:p w14:paraId="3100CEF0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Бюджетная политика в области расходов в среднесрочной перспективе будет ориентирована на безусловное исполнение действующих расходных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обязательств, в том числе с учетом рисков, связанных с геополитической и макроэкономической ситуацией в стране, на выполнение всех социальных задач, стоящих перед округом.</w:t>
      </w:r>
    </w:p>
    <w:p w14:paraId="070F9460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Исходя из текущей экономической ситуации и задач, поставленных Президентом и Правительством Российской Федерации, бюджетная политика в 2025-2027 годах, как и в предыдущие годы, будет направлена на:</w:t>
      </w:r>
    </w:p>
    <w:p w14:paraId="7BBBC96A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1.Обеспечение сбалансированности и устойчивости бюджета муниципального округа, в том числе за счет:</w:t>
      </w:r>
    </w:p>
    <w:p w14:paraId="6E2ADD98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формирования реалистичного прогноза поступления налоговых и неналоговых доходов;</w:t>
      </w:r>
    </w:p>
    <w:p w14:paraId="7D83F43F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обеспечения финансовыми ресурсами в первую очередь действующих расходных обязательств, гарантированного исполнения социальных обязательств округа, осуществления взвешенного подхода к принятию новых расходных обязательств;</w:t>
      </w:r>
    </w:p>
    <w:p w14:paraId="4A3E019B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проведения ответственной и взвешенной долговой политики.</w:t>
      </w:r>
    </w:p>
    <w:p w14:paraId="47D086BA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2.Повышение эффективности и оптимизации бюджетных расходов будет достигаться, в том числе за счет:</w:t>
      </w:r>
    </w:p>
    <w:p w14:paraId="25CD6B3C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концентрации финансовых ресурсов на реализации приоритетных направлений муниципальной политики;</w:t>
      </w:r>
    </w:p>
    <w:p w14:paraId="54979238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повышения эффективности осуществления закупок товаров, работ, услуг для обеспечения нужд муниципального образования, обязательность использования конкурентных способов закупки;</w:t>
      </w:r>
    </w:p>
    <w:p w14:paraId="55D15BBD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осуществления закупок и использования информационного ресурса «Региональный маркетинговый центр Кировской области»;</w:t>
      </w:r>
    </w:p>
    <w:p w14:paraId="5BB942FE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повышения результативности предоставления субсидий юридическим лицам;</w:t>
      </w:r>
    </w:p>
    <w:p w14:paraId="6D4BE23D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усиления финансовой дисциплины.</w:t>
      </w:r>
    </w:p>
    <w:p w14:paraId="13332171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3.Повышение качества оказываемых муниципальных услуг, в том числе за счет:</w:t>
      </w:r>
    </w:p>
    <w:p w14:paraId="2B96B974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установления муниципальных заданий на оказание муниципальных услуг в соответствии с общероссийскими базовыми (отраслевыми) перечнями услуг;</w:t>
      </w:r>
    </w:p>
    <w:p w14:paraId="505562F8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повышения ответственности муниципальных учреждений за невыполнение муниципального задания, в том числе за счет реализации требований об обязательном возврате средств субсидии в бюджет муниципального округа в случае не достижения показателей, установленных в муниципальном задании;</w:t>
      </w:r>
    </w:p>
    <w:p w14:paraId="76C29709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вовлечения организаций, не являющихся муниципальными учреждениями, в процесс оказания муниципальных услуг.</w:t>
      </w:r>
    </w:p>
    <w:p w14:paraId="22293765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4.Повышение эффективности муниципального управления, в том числе за счет:</w:t>
      </w:r>
    </w:p>
    <w:p w14:paraId="223EF2BD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повышения эффективности и результативности реализуемых в округе муниципальных программ;</w:t>
      </w:r>
    </w:p>
    <w:p w14:paraId="63F2F65A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повышения эффективности и качества осуществления внутреннего финансового контроля и внутреннего финансового аудита.</w:t>
      </w:r>
    </w:p>
    <w:p w14:paraId="7AE1D5A6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5.Развитие и совершенствование системы финансового контроля, в том числе в сфере закупок. Деятельность в сфере финансового контроля и контроля в сфере закупок будет направлена на:</w:t>
      </w:r>
    </w:p>
    <w:p w14:paraId="44CE4448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методологических основ муниципального финансового контроля и контроля в сфере закупок;</w:t>
      </w:r>
    </w:p>
    <w:p w14:paraId="381E451D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муниципального финансового контроля и контроля в сфере закупок с целью его ориентации на оценку эффективности муниципальных ресурсов, переход с контроля над финансовыми потоками к контролю результатов их использования;</w:t>
      </w:r>
    </w:p>
    <w:p w14:paraId="7C4E43E5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смещение акцентов контрольных мероприятий с последующего на предварительный контроль, направленный на предупреждение нарушений законодательства;</w:t>
      </w:r>
    </w:p>
    <w:p w14:paraId="618FAAA4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повышение надежности и эффективности внутреннего финансового контроля и аудита, ведомственного контроля в сфере закупок, контроля за деятельностью муниципальных учреждений;</w:t>
      </w:r>
    </w:p>
    <w:p w14:paraId="5F92388F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системы анализа и методического руководства качества контрольной деятельности главных распорядителей бюджетных средств по осуществлению внутреннего финансового контроля и аудита, ведомственного контроля в сфере закупок, контроля за деятельностью муниципальных учреждений округа;</w:t>
      </w:r>
    </w:p>
    <w:p w14:paraId="07909DC5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информационной работы с целью повышения дисциплины объектами контроля;</w:t>
      </w:r>
    </w:p>
    <w:p w14:paraId="52013D8C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координацию деятельности контрольных органов, переход на риск-ориентированный метод планирования контрольной деятельности.</w:t>
      </w:r>
    </w:p>
    <w:p w14:paraId="14A2F96E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6.Реализация принципов открытости и прозрачности управления муниципальными финансами.</w:t>
      </w:r>
    </w:p>
    <w:p w14:paraId="4B47B512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Приоритетными направлениями расходов по-прежнему остаются:</w:t>
      </w:r>
    </w:p>
    <w:p w14:paraId="18FA51A7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расходы на оплату труда органов местного самоуправления, работников бюджетной сферы, соблюдение средней заработной платы указных категорий работников;</w:t>
      </w:r>
    </w:p>
    <w:p w14:paraId="561B2C8A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расходы на начисления по оплате труда;</w:t>
      </w:r>
    </w:p>
    <w:p w14:paraId="6B887ECD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расходы на оплату коммунальных услуг;</w:t>
      </w:r>
    </w:p>
    <w:p w14:paraId="6E75620D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расходы на мероприятия по подготовке к отопительному периоду;</w:t>
      </w:r>
    </w:p>
    <w:p w14:paraId="283F7600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расходы на обслуживание муниципального долга.</w:t>
      </w:r>
    </w:p>
    <w:p w14:paraId="259E996C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основные усилия необходимо сосредоточить на выполнение мероприятий, касающихся оценки возможностей оптимизации структуры и численности работников муниципальных учреждений, сохранения дифференцированного подхода к оплате труда по категориям работников.</w:t>
      </w:r>
    </w:p>
    <w:p w14:paraId="50707948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задач по исполнению социальных обязательств требует выявление резервов экономии расходов бюджета округа и определения четких приоритетов использования бюджетных средств.</w:t>
      </w:r>
    </w:p>
    <w:p w14:paraId="05E9B014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связи с чем при планировании бюджетных ассигнований на 2025 год и на плановый период 2026 и 2027 годов следует детально оценить содержание каждого программного мероприятия, соразмерив объемы их финансового обеспечения с реальными возможностями бюджета округа. Ключевыми требованиями к расходной части бюджета должны стать бережливость и максимальная отдача.</w:t>
      </w:r>
    </w:p>
    <w:p w14:paraId="71149879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Бюджетная политика в области муниципальных внутренних заимствований в предстоящем периоде будет направлена на снижение объема муниципального долга, на своевременное и безусловное исполнение принимаемых обязательств.</w:t>
      </w:r>
    </w:p>
    <w:p w14:paraId="3E2A566A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повышения качества управления муниципальным долгом необходимо обеспечить:</w:t>
      </w:r>
    </w:p>
    <w:p w14:paraId="7941EF1B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поэтапное снижение и поддержание безопасного уровня муниципального долга Афанасьевского муниципального округа, в том числе за счет минимизации дефицита бюджета округа;</w:t>
      </w:r>
    </w:p>
    <w:p w14:paraId="717ECD66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источников покрытия временных кассовых разрывов, возникающих при исполнении бюджета округа, в том числе за счет эффективного управления свободными остатками средств бюджета округа;</w:t>
      </w:r>
    </w:p>
    <w:p w14:paraId="289AC628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сокращение стоимости обслуживания муниципального долга округа, в том числе за счет проведения работы с кредитными организациями по снижению процентных ставок по заключенным контрактам на оказание услуг по предоставлению денежных средств, а также вменить в практику привлечения бюджетных кредитов из федерального бюджета на пополнение остатков средств на счете бюджета.</w:t>
      </w:r>
    </w:p>
    <w:p w14:paraId="54B0A8FF" w14:textId="77777777" w:rsidR="003721F8" w:rsidRDefault="003721F8" w:rsidP="003721F8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поставленных задач позволит достичь конечной цели бюджетной политики округа, состоящей в улучшении условий и качества жизни населения в округе, адресном решении социальных проблем, повышении качества муниципальных услуг, стимулирования инновационного развития округа.</w:t>
      </w:r>
    </w:p>
    <w:p w14:paraId="72BA1736" w14:textId="77777777" w:rsidR="003721F8" w:rsidRPr="002D6BDC" w:rsidRDefault="003721F8" w:rsidP="00DC14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C7226B7" w14:textId="77777777" w:rsidR="005A6A45" w:rsidRDefault="005A6A45" w:rsidP="00DC14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40EB3" w14:textId="557544CD" w:rsidR="005A6A45" w:rsidRPr="003721F8" w:rsidRDefault="00A14D14" w:rsidP="003721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1F8">
        <w:rPr>
          <w:rFonts w:ascii="Times New Roman" w:hAnsi="Times New Roman"/>
          <w:b/>
          <w:sz w:val="28"/>
          <w:szCs w:val="28"/>
        </w:rPr>
        <w:t>ОСНОВНЫЕ НАПРАВЛЕНИЯ НАЛОГОВОЙ ПОЛИТИКИ</w:t>
      </w:r>
    </w:p>
    <w:p w14:paraId="778C1FBF" w14:textId="467EDA6E" w:rsidR="00FB6D7A" w:rsidRDefault="00FB6D7A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Налоговая политика администрации Афанасьевского муниципального округа в 2025-2027 годах, как и в предыдущие годы, будет направлена на обеспечение поступления в бюджет муниципального округа всех доходных источников в запланированных объемах, а также дополнительных доходов.</w:t>
      </w:r>
    </w:p>
    <w:p w14:paraId="36110879" w14:textId="43CF0B26" w:rsidR="00FB6D7A" w:rsidRDefault="00FB6D7A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Приоритетами налоговой политики Афанасьевского муниципального округа в ближайшие три года будут являться эффективное и стабильное функционирование налоговой системы, обеспечивающей бюджетную устойчивость в среднесрочной и долгосрочной перспективе, с учетом изменений налогового законодательства, вступающих в действие с 2025 года:</w:t>
      </w:r>
    </w:p>
    <w:p w14:paraId="4B56DD9F" w14:textId="78EB786C" w:rsidR="00FB6D7A" w:rsidRDefault="00F21A20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введение пятиступенчатой прогрессивной шкалы налогообложения по налогу на доходы физических лиц, предусматривающей применение ставок налога в размере:</w:t>
      </w:r>
    </w:p>
    <w:p w14:paraId="79EA2485" w14:textId="1B2F9BB2" w:rsidR="00F21A20" w:rsidRDefault="00F21A20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13% при доходах до 2,4 млн. рублей в год (включительно);</w:t>
      </w:r>
    </w:p>
    <w:p w14:paraId="0C74C94B" w14:textId="2A9CCEAB" w:rsidR="00F21A20" w:rsidRDefault="00F21A20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15% при доходах от 2,4 млн. рублей до 5,0 млн. рублей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  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включительно);</w:t>
      </w:r>
    </w:p>
    <w:p w14:paraId="7828959D" w14:textId="1582337E" w:rsidR="00F21A20" w:rsidRDefault="00F21A20" w:rsidP="00F21A20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18% при доходах от 5,0 млн. рублей до 20,0 млн. рублей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  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включительно);</w:t>
      </w:r>
    </w:p>
    <w:p w14:paraId="342A24F6" w14:textId="1941150D" w:rsidR="00F21A20" w:rsidRDefault="00F21A20" w:rsidP="00F21A20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20% при доходах от 20,0 млн. рублей до 50,0 млн. рублей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  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включительно);</w:t>
      </w:r>
    </w:p>
    <w:p w14:paraId="5CB14398" w14:textId="4F97338C" w:rsidR="00F21A20" w:rsidRDefault="00F21A20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22% при доходах свыше 50,0 млн. рублей в год;</w:t>
      </w:r>
    </w:p>
    <w:p w14:paraId="76A16117" w14:textId="78D62006" w:rsidR="00F21A20" w:rsidRDefault="00F21A20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стандартных вычетов по НДФЛ на второго ребенка с 1400 рублей до 2800 рублей, а также на третьего и каждого последующего ребенка с 3000 до 6000 рублей с одновременным увеличением с 350 тыс. рублей до 450 тыс. рублей порогового размера доходов граждан, позволяющего применять данные вычеты;</w:t>
      </w:r>
    </w:p>
    <w:p w14:paraId="49977EF7" w14:textId="0356C177" w:rsidR="00F21A20" w:rsidRDefault="00F21A20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стандартного налогового вычета по НДФЛ в размере 18,0 тыс. рублей для граждан, выполнивших нормативы испытаний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Всероссийского физкультурно-спортивного комплекса «Готов к труду и обороне»;</w:t>
      </w:r>
    </w:p>
    <w:p w14:paraId="3248B2BF" w14:textId="720B73E5" w:rsidR="00F21A20" w:rsidRDefault="00F21A20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увеличение </w:t>
      </w:r>
      <w:r w:rsidR="002321FD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предельных размеров доходов, дающих право на применение упрощенной системы налогообложения, с 200,0 млн. рублей до 450,0 млн. рублей и стоимости основных средств с 150,0 млн. рублей до 200,0 млн. рублей;</w:t>
      </w:r>
    </w:p>
    <w:p w14:paraId="3C6A0CDB" w14:textId="1B9AD4E2" w:rsidR="002321FD" w:rsidRDefault="002321FD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отмена повышенных ставок </w:t>
      </w:r>
      <w:r w:rsidR="00980E9D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8% и 20%) по налогу, взимаемому в связи с применением упрощенной системы налогообложения;</w:t>
      </w:r>
    </w:p>
    <w:p w14:paraId="69F5953D" w14:textId="5E4F9AD8" w:rsidR="002321FD" w:rsidRDefault="002321FD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ставок акцизов на автомобильный бензин класса 5, дизельного топлива и моторное масло – 4,7%;</w:t>
      </w:r>
    </w:p>
    <w:p w14:paraId="2EF43134" w14:textId="49E4734A" w:rsidR="002321FD" w:rsidRDefault="002321FD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права налогоплательщик</w:t>
      </w:r>
      <w:r w:rsidR="00980E9D"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применяющим упрощенную систему налогообложения с объектом налогообложения «доходы минус расходы», учитывать в составе расходов страховые взносы;</w:t>
      </w:r>
    </w:p>
    <w:p w14:paraId="0491BF71" w14:textId="1C15D72D" w:rsidR="002321FD" w:rsidRDefault="00D303BD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перенос срока уплаты налога, взимаемого при применении патентной системы налогообложения, по патентам, срок окончания действия которых приходится на 31 декабря, с последнего дня действия патента на 28 декабря.</w:t>
      </w:r>
    </w:p>
    <w:p w14:paraId="0CEC8A21" w14:textId="35567441" w:rsidR="00587DF6" w:rsidRDefault="00587DF6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направлениями налоговой политики бюджета муниципального округа в период 2025-2027 годы являются:</w:t>
      </w:r>
    </w:p>
    <w:p w14:paraId="50B69FCE" w14:textId="124D59F9" w:rsidR="00587DF6" w:rsidRDefault="008E10B6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8F13D2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Продолжение работы по развитию доходного потенциала муниципального округа.</w:t>
      </w:r>
    </w:p>
    <w:p w14:paraId="71293061" w14:textId="5FD74D58" w:rsidR="00F21A20" w:rsidRDefault="008E10B6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данного направления будет осуществляться путем:</w:t>
      </w:r>
    </w:p>
    <w:p w14:paraId="61BF1E74" w14:textId="3168E98F" w:rsidR="008E10B6" w:rsidRDefault="008E10B6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 качественного прогнозирования и выполнения плановых показателей по поступлению доходов бюджета муниципального округа;</w:t>
      </w:r>
    </w:p>
    <w:p w14:paraId="20D4E599" w14:textId="60F6CF2C" w:rsidR="008E10B6" w:rsidRDefault="008E10B6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 проведения взвешенной политики в области предоставления налоговых льгот по местным налогам.</w:t>
      </w:r>
    </w:p>
    <w:p w14:paraId="7776BEE5" w14:textId="0544F48D" w:rsidR="00A25645" w:rsidRDefault="00A25645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этой целью необходимо сохранить практику инвентаризации действующих налоговых льгот по местным налогам, предоставленных решениями представительных органов, и оценки их эффективности.</w:t>
      </w:r>
    </w:p>
    <w:p w14:paraId="76754FB6" w14:textId="425525E8" w:rsidR="00FB6D7A" w:rsidRDefault="00ED550F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2.Повышение эффективности управления имуществом муниципального округа.</w:t>
      </w:r>
    </w:p>
    <w:p w14:paraId="7E8A3331" w14:textId="193E4179" w:rsidR="00FB6D7A" w:rsidRDefault="00ED550F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Реализация данного направления должна осуществляться путем:</w:t>
      </w:r>
    </w:p>
    <w:p w14:paraId="656D9DE6" w14:textId="19652FE5" w:rsidR="00FB6D7A" w:rsidRDefault="00ED550F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 использованием муниципального имущества округа, сданного в аренду, а также переданного в оперативное управление или хозяйственное ведение муниципальным учреждениям округа;</w:t>
      </w:r>
    </w:p>
    <w:p w14:paraId="0EC5E372" w14:textId="2F9DD741" w:rsidR="00ED550F" w:rsidRDefault="00ED550F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вовлечение в хозяйственный оборот неиспользуемых земельных участков и иных объектов недвижимости муниципального округа;</w:t>
      </w:r>
    </w:p>
    <w:p w14:paraId="55579FDE" w14:textId="6E58C7BE" w:rsidR="00ED550F" w:rsidRDefault="00ED550F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анализа показателей эффективности использования и управления муниципальным имуществом округа за отчетный период для принятия эффективных решений по управлению и использованию муниципального имущества.</w:t>
      </w:r>
    </w:p>
    <w:p w14:paraId="37C99E25" w14:textId="08A4A564" w:rsidR="00FB6D7A" w:rsidRDefault="00B86132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4C4A34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качества администрирования доходных источников главными администраторами доходов бюджета муниципального округа, а также повышения уровня ответственности главных администраторов доходов за качественным прогнозированием доходов бюджета муниципального округа и выполнение в полном объеме утвержденных годовых назначений по доходам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C4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активизация претензионно-исковой деятельности, а также активизация работы с просроченной деб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C4A34">
        <w:rPr>
          <w:rFonts w:ascii="Times New Roman" w:eastAsia="Calibri" w:hAnsi="Times New Roman" w:cs="Times New Roman"/>
          <w:sz w:val="28"/>
          <w:szCs w:val="28"/>
          <w:lang w:eastAsia="en-US"/>
        </w:rPr>
        <w:t>торской задолженностью.</w:t>
      </w:r>
    </w:p>
    <w:p w14:paraId="2F699F75" w14:textId="51D5883A" w:rsidR="00B86132" w:rsidRDefault="00B86132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акцент должен быть направлен на повышение уровня собираемости налоговых и неналоговых платежей и на легализацию налоговой базы.</w:t>
      </w:r>
    </w:p>
    <w:p w14:paraId="07D7F336" w14:textId="3DC681B6" w:rsidR="00B86132" w:rsidRDefault="00B86132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следует проводить работу по анализу состояния текущей задолженности,</w:t>
      </w:r>
      <w:r w:rsidR="00DB0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инвентаризации просроченной задолженности,</w:t>
      </w:r>
      <w:r w:rsidR="00DB0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продолжить проведение </w:t>
      </w:r>
      <w:r w:rsidR="00DB05F0">
        <w:rPr>
          <w:rFonts w:ascii="Times New Roman" w:eastAsia="Calibri" w:hAnsi="Times New Roman" w:cs="Times New Roman"/>
          <w:sz w:val="28"/>
          <w:szCs w:val="28"/>
          <w:lang w:eastAsia="en-US"/>
        </w:rPr>
        <w:t>претензионной работы с неплательщиками и по осуществлению мер принудительного взыскания задолженности, а также по своевременному списанию безнадежной к взысканию задолженности.</w:t>
      </w:r>
    </w:p>
    <w:p w14:paraId="324D56A2" w14:textId="341B5988" w:rsidR="00FB6D7A" w:rsidRDefault="00DB05F0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продолжить работу по легализации неформальной занятости и повышению собираемости налога на доходы физических лиц.</w:t>
      </w:r>
    </w:p>
    <w:p w14:paraId="18468A41" w14:textId="219955A5" w:rsidR="00DB05F0" w:rsidRDefault="000B52BB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4.Продолжение работы по эффективности межбюджетных отношений с федеральными и областными исполнительными органами власти.</w:t>
      </w:r>
    </w:p>
    <w:p w14:paraId="1277528B" w14:textId="616BE25B" w:rsidR="000B52BB" w:rsidRDefault="000B52BB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Развитие взаимоотношений с органами государственной власти по-прежнему направлено на активное привлечение в Афанасьевский округ федеральных и областных межбюджетных трансфертов.</w:t>
      </w:r>
    </w:p>
    <w:p w14:paraId="02D79A93" w14:textId="037B26DE" w:rsidR="000B52BB" w:rsidRDefault="000B52BB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Своевременное участие в конкурсах, грантах, программах и национальных проектах позволить привлечь в бюджет округа дополнительные межбюджетные трансферты.</w:t>
      </w:r>
    </w:p>
    <w:p w14:paraId="268EBE8F" w14:textId="00E0E761" w:rsidR="000B52BB" w:rsidRDefault="000B52BB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инвестиционных проектов на территории округа обеспечит привлечение инвестиций</w:t>
      </w:r>
      <w:r w:rsidR="00CD3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округ, создание новых рабочих мест, дополнительные налоговые поступления в бюджет округа.</w:t>
      </w:r>
    </w:p>
    <w:p w14:paraId="4F19144F" w14:textId="33EB4E08" w:rsidR="00CD3D01" w:rsidRDefault="00CD3D01" w:rsidP="004A3F26">
      <w:pPr>
        <w:autoSpaceDE w:val="0"/>
        <w:autoSpaceDN w:val="0"/>
        <w:adjustRightInd w:val="0"/>
        <w:spacing w:after="0" w:line="353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этих мер будет являться необходимым условием повышения эффективности системы управления муниципальными финансами и минимизация рисков несбалансированности бюджета Афанасьевского муниципального округа в предстоящем периоде.</w:t>
      </w:r>
    </w:p>
    <w:p w14:paraId="3A8B3B24" w14:textId="77777777" w:rsidR="0078067A" w:rsidRDefault="0078067A" w:rsidP="000875F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6A93DA4" w14:textId="7A379C3F" w:rsidR="00E22DB9" w:rsidRDefault="00E22DB9" w:rsidP="00A14D14">
      <w:pPr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721A3E" w14:textId="6CC79DB5" w:rsidR="003D051D" w:rsidRDefault="003D051D" w:rsidP="003D051D">
      <w:pPr>
        <w:autoSpaceDE w:val="0"/>
        <w:autoSpaceDN w:val="0"/>
        <w:adjustRightInd w:val="0"/>
        <w:spacing w:after="0" w:line="348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sectPr w:rsidR="003D051D" w:rsidSect="00E81D7F">
      <w:headerReference w:type="default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439D" w14:textId="77777777" w:rsidR="0049005B" w:rsidRDefault="0049005B">
      <w:pPr>
        <w:spacing w:after="0" w:line="240" w:lineRule="auto"/>
      </w:pPr>
      <w:r>
        <w:separator/>
      </w:r>
    </w:p>
  </w:endnote>
  <w:endnote w:type="continuationSeparator" w:id="0">
    <w:p w14:paraId="20A5360C" w14:textId="77777777" w:rsidR="0049005B" w:rsidRDefault="0049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1CBD" w14:textId="77777777" w:rsidR="001E5631" w:rsidRDefault="00EF10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24F0">
      <w:rPr>
        <w:noProof/>
      </w:rPr>
      <w:t>2</w:t>
    </w:r>
    <w:r>
      <w:rPr>
        <w:noProof/>
      </w:rPr>
      <w:fldChar w:fldCharType="end"/>
    </w:r>
  </w:p>
  <w:p w14:paraId="1FE84B17" w14:textId="77777777" w:rsidR="001E5631" w:rsidRDefault="001E5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9C3A" w14:textId="77777777" w:rsidR="0049005B" w:rsidRDefault="0049005B">
      <w:pPr>
        <w:spacing w:after="0" w:line="240" w:lineRule="auto"/>
      </w:pPr>
      <w:r>
        <w:separator/>
      </w:r>
    </w:p>
  </w:footnote>
  <w:footnote w:type="continuationSeparator" w:id="0">
    <w:p w14:paraId="0C96FCF0" w14:textId="77777777" w:rsidR="0049005B" w:rsidRDefault="0049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A3DE" w14:textId="77777777" w:rsidR="001E5631" w:rsidRDefault="001E5631" w:rsidP="004A69FD">
    <w:pPr>
      <w:pStyle w:val="a3"/>
      <w:spacing w:line="160" w:lineRule="exact"/>
      <w:jc w:val="right"/>
      <w:rPr>
        <w:b/>
        <w:i/>
        <w:sz w:val="18"/>
        <w:szCs w:val="18"/>
      </w:rPr>
    </w:pPr>
  </w:p>
  <w:p w14:paraId="557C3CFC" w14:textId="77777777" w:rsidR="001E5631" w:rsidRDefault="001E5631" w:rsidP="004A69FD">
    <w:pPr>
      <w:pStyle w:val="a3"/>
      <w:spacing w:line="160" w:lineRule="exact"/>
      <w:jc w:val="right"/>
      <w:rPr>
        <w:b/>
        <w:i/>
        <w:sz w:val="18"/>
        <w:szCs w:val="18"/>
      </w:rPr>
    </w:pPr>
  </w:p>
  <w:p w14:paraId="1A3C7860" w14:textId="77777777" w:rsidR="001E5631" w:rsidRPr="007F7EA9" w:rsidRDefault="001E5631" w:rsidP="004A69FD">
    <w:pPr>
      <w:pStyle w:val="a3"/>
      <w:spacing w:line="160" w:lineRule="exact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009"/>
    <w:multiLevelType w:val="hybridMultilevel"/>
    <w:tmpl w:val="FE0259C2"/>
    <w:lvl w:ilvl="0" w:tplc="02F264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6EF065B"/>
    <w:multiLevelType w:val="hybridMultilevel"/>
    <w:tmpl w:val="CC26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8C9"/>
    <w:multiLevelType w:val="hybridMultilevel"/>
    <w:tmpl w:val="01EE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64FF2"/>
    <w:multiLevelType w:val="hybridMultilevel"/>
    <w:tmpl w:val="2880FFD8"/>
    <w:lvl w:ilvl="0" w:tplc="F4947E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52"/>
    <w:rsid w:val="00002AB0"/>
    <w:rsid w:val="0000338D"/>
    <w:rsid w:val="0000782D"/>
    <w:rsid w:val="00011A03"/>
    <w:rsid w:val="000166D4"/>
    <w:rsid w:val="0002686E"/>
    <w:rsid w:val="00026F14"/>
    <w:rsid w:val="00027FB0"/>
    <w:rsid w:val="00033E0D"/>
    <w:rsid w:val="00034A79"/>
    <w:rsid w:val="0004444A"/>
    <w:rsid w:val="00047916"/>
    <w:rsid w:val="000515E2"/>
    <w:rsid w:val="00055E5D"/>
    <w:rsid w:val="0005784C"/>
    <w:rsid w:val="0006228C"/>
    <w:rsid w:val="00062B26"/>
    <w:rsid w:val="0006312D"/>
    <w:rsid w:val="000633DE"/>
    <w:rsid w:val="0006420E"/>
    <w:rsid w:val="000703CC"/>
    <w:rsid w:val="000759DB"/>
    <w:rsid w:val="000776EB"/>
    <w:rsid w:val="00077D6E"/>
    <w:rsid w:val="00082323"/>
    <w:rsid w:val="0008426E"/>
    <w:rsid w:val="000875F4"/>
    <w:rsid w:val="00092558"/>
    <w:rsid w:val="00097268"/>
    <w:rsid w:val="000A4220"/>
    <w:rsid w:val="000A555F"/>
    <w:rsid w:val="000B1CA1"/>
    <w:rsid w:val="000B2C24"/>
    <w:rsid w:val="000B3EAA"/>
    <w:rsid w:val="000B44B2"/>
    <w:rsid w:val="000B52BB"/>
    <w:rsid w:val="000B6400"/>
    <w:rsid w:val="000B6CF3"/>
    <w:rsid w:val="000B79CE"/>
    <w:rsid w:val="000D2DAC"/>
    <w:rsid w:val="000D6E9A"/>
    <w:rsid w:val="000D79EC"/>
    <w:rsid w:val="000E4B47"/>
    <w:rsid w:val="000E5571"/>
    <w:rsid w:val="000E68D0"/>
    <w:rsid w:val="000E7428"/>
    <w:rsid w:val="000E7706"/>
    <w:rsid w:val="000F307F"/>
    <w:rsid w:val="000F6859"/>
    <w:rsid w:val="0010078E"/>
    <w:rsid w:val="00112B44"/>
    <w:rsid w:val="0012404C"/>
    <w:rsid w:val="00127E97"/>
    <w:rsid w:val="001306E0"/>
    <w:rsid w:val="001335A4"/>
    <w:rsid w:val="00133D29"/>
    <w:rsid w:val="00144116"/>
    <w:rsid w:val="00146A90"/>
    <w:rsid w:val="00150DD3"/>
    <w:rsid w:val="001532F3"/>
    <w:rsid w:val="00156F28"/>
    <w:rsid w:val="001628F8"/>
    <w:rsid w:val="00170472"/>
    <w:rsid w:val="00175DF9"/>
    <w:rsid w:val="00176062"/>
    <w:rsid w:val="001777C5"/>
    <w:rsid w:val="001829DE"/>
    <w:rsid w:val="00186387"/>
    <w:rsid w:val="00186541"/>
    <w:rsid w:val="001924F0"/>
    <w:rsid w:val="0019538B"/>
    <w:rsid w:val="00197037"/>
    <w:rsid w:val="001A37AF"/>
    <w:rsid w:val="001A58AB"/>
    <w:rsid w:val="001A7F5B"/>
    <w:rsid w:val="001C2327"/>
    <w:rsid w:val="001C294F"/>
    <w:rsid w:val="001C5EE5"/>
    <w:rsid w:val="001C5F05"/>
    <w:rsid w:val="001E2320"/>
    <w:rsid w:val="001E3ECE"/>
    <w:rsid w:val="001E5631"/>
    <w:rsid w:val="001F69EA"/>
    <w:rsid w:val="00217E14"/>
    <w:rsid w:val="002212CB"/>
    <w:rsid w:val="0022419F"/>
    <w:rsid w:val="00224715"/>
    <w:rsid w:val="00230444"/>
    <w:rsid w:val="002321FD"/>
    <w:rsid w:val="002376B5"/>
    <w:rsid w:val="00240679"/>
    <w:rsid w:val="00240748"/>
    <w:rsid w:val="0026690A"/>
    <w:rsid w:val="002756B4"/>
    <w:rsid w:val="002766F3"/>
    <w:rsid w:val="00281596"/>
    <w:rsid w:val="00283244"/>
    <w:rsid w:val="00286A9D"/>
    <w:rsid w:val="00290D1E"/>
    <w:rsid w:val="002913B8"/>
    <w:rsid w:val="00291644"/>
    <w:rsid w:val="002A155A"/>
    <w:rsid w:val="002A1A35"/>
    <w:rsid w:val="002A668C"/>
    <w:rsid w:val="002B4284"/>
    <w:rsid w:val="002B519B"/>
    <w:rsid w:val="002B7BF5"/>
    <w:rsid w:val="002C056E"/>
    <w:rsid w:val="002C4099"/>
    <w:rsid w:val="002C4660"/>
    <w:rsid w:val="002D1497"/>
    <w:rsid w:val="002D5874"/>
    <w:rsid w:val="002D6BDC"/>
    <w:rsid w:val="002E4166"/>
    <w:rsid w:val="002E5879"/>
    <w:rsid w:val="002F1B4E"/>
    <w:rsid w:val="00301157"/>
    <w:rsid w:val="00310ACF"/>
    <w:rsid w:val="003111BA"/>
    <w:rsid w:val="00312645"/>
    <w:rsid w:val="003138F8"/>
    <w:rsid w:val="00314CA2"/>
    <w:rsid w:val="003155D1"/>
    <w:rsid w:val="0031608C"/>
    <w:rsid w:val="00322627"/>
    <w:rsid w:val="003236AE"/>
    <w:rsid w:val="003315D1"/>
    <w:rsid w:val="00331C6E"/>
    <w:rsid w:val="0033297B"/>
    <w:rsid w:val="00340756"/>
    <w:rsid w:val="00350683"/>
    <w:rsid w:val="0035442D"/>
    <w:rsid w:val="003721F8"/>
    <w:rsid w:val="003763A7"/>
    <w:rsid w:val="00376438"/>
    <w:rsid w:val="00377C84"/>
    <w:rsid w:val="00382747"/>
    <w:rsid w:val="00391841"/>
    <w:rsid w:val="00394177"/>
    <w:rsid w:val="00394D5D"/>
    <w:rsid w:val="00396861"/>
    <w:rsid w:val="00397E3F"/>
    <w:rsid w:val="003A08FC"/>
    <w:rsid w:val="003B3D3D"/>
    <w:rsid w:val="003C1DBD"/>
    <w:rsid w:val="003C3214"/>
    <w:rsid w:val="003C3863"/>
    <w:rsid w:val="003D051D"/>
    <w:rsid w:val="003D1995"/>
    <w:rsid w:val="003D54DC"/>
    <w:rsid w:val="003E3C7F"/>
    <w:rsid w:val="003E4655"/>
    <w:rsid w:val="003E752B"/>
    <w:rsid w:val="003F1C8E"/>
    <w:rsid w:val="003F476D"/>
    <w:rsid w:val="003F6926"/>
    <w:rsid w:val="003F6F7B"/>
    <w:rsid w:val="0040118E"/>
    <w:rsid w:val="00411B75"/>
    <w:rsid w:val="00416730"/>
    <w:rsid w:val="00417F62"/>
    <w:rsid w:val="0042382A"/>
    <w:rsid w:val="00427607"/>
    <w:rsid w:val="00432748"/>
    <w:rsid w:val="004339B4"/>
    <w:rsid w:val="00433B31"/>
    <w:rsid w:val="00433ECD"/>
    <w:rsid w:val="0043538F"/>
    <w:rsid w:val="00447656"/>
    <w:rsid w:val="0045034D"/>
    <w:rsid w:val="00450E2D"/>
    <w:rsid w:val="00455751"/>
    <w:rsid w:val="00460442"/>
    <w:rsid w:val="00462E4F"/>
    <w:rsid w:val="00467375"/>
    <w:rsid w:val="004674A2"/>
    <w:rsid w:val="004676DC"/>
    <w:rsid w:val="004677A7"/>
    <w:rsid w:val="00470834"/>
    <w:rsid w:val="00475D7B"/>
    <w:rsid w:val="00481107"/>
    <w:rsid w:val="0049005B"/>
    <w:rsid w:val="0049173B"/>
    <w:rsid w:val="00491C50"/>
    <w:rsid w:val="00494E6D"/>
    <w:rsid w:val="0049578E"/>
    <w:rsid w:val="004A03FC"/>
    <w:rsid w:val="004A3F26"/>
    <w:rsid w:val="004A69FD"/>
    <w:rsid w:val="004A7154"/>
    <w:rsid w:val="004B0618"/>
    <w:rsid w:val="004B4A72"/>
    <w:rsid w:val="004C05F1"/>
    <w:rsid w:val="004C145A"/>
    <w:rsid w:val="004C310A"/>
    <w:rsid w:val="004C4A34"/>
    <w:rsid w:val="004D3E0E"/>
    <w:rsid w:val="004D52CF"/>
    <w:rsid w:val="004D5D0A"/>
    <w:rsid w:val="004D62C2"/>
    <w:rsid w:val="004E1DE8"/>
    <w:rsid w:val="004E2BAC"/>
    <w:rsid w:val="004E7DA6"/>
    <w:rsid w:val="004F0709"/>
    <w:rsid w:val="004F1AAF"/>
    <w:rsid w:val="004F4564"/>
    <w:rsid w:val="004F66C1"/>
    <w:rsid w:val="0050448F"/>
    <w:rsid w:val="00505A37"/>
    <w:rsid w:val="00506CFA"/>
    <w:rsid w:val="00507263"/>
    <w:rsid w:val="005101B9"/>
    <w:rsid w:val="0051025F"/>
    <w:rsid w:val="005156EB"/>
    <w:rsid w:val="0052319A"/>
    <w:rsid w:val="005275E4"/>
    <w:rsid w:val="00534F8B"/>
    <w:rsid w:val="005367A6"/>
    <w:rsid w:val="00542B3C"/>
    <w:rsid w:val="00551579"/>
    <w:rsid w:val="0055703C"/>
    <w:rsid w:val="005575D9"/>
    <w:rsid w:val="00562F28"/>
    <w:rsid w:val="00575584"/>
    <w:rsid w:val="00575CFA"/>
    <w:rsid w:val="0058255B"/>
    <w:rsid w:val="005862C0"/>
    <w:rsid w:val="00586FF3"/>
    <w:rsid w:val="00587DF6"/>
    <w:rsid w:val="005A1DFD"/>
    <w:rsid w:val="005A2C09"/>
    <w:rsid w:val="005A6A45"/>
    <w:rsid w:val="005B19EC"/>
    <w:rsid w:val="005B6632"/>
    <w:rsid w:val="005B77DC"/>
    <w:rsid w:val="005B7B40"/>
    <w:rsid w:val="005D193B"/>
    <w:rsid w:val="005E0F4B"/>
    <w:rsid w:val="005E1CB3"/>
    <w:rsid w:val="005E4443"/>
    <w:rsid w:val="005F1D3D"/>
    <w:rsid w:val="005F2044"/>
    <w:rsid w:val="00602416"/>
    <w:rsid w:val="00604F49"/>
    <w:rsid w:val="006210A4"/>
    <w:rsid w:val="00623CE0"/>
    <w:rsid w:val="00627DFA"/>
    <w:rsid w:val="00630440"/>
    <w:rsid w:val="006317FE"/>
    <w:rsid w:val="00647588"/>
    <w:rsid w:val="00650A70"/>
    <w:rsid w:val="00651F7E"/>
    <w:rsid w:val="0065558D"/>
    <w:rsid w:val="00655859"/>
    <w:rsid w:val="00660FA3"/>
    <w:rsid w:val="00662A10"/>
    <w:rsid w:val="00662D81"/>
    <w:rsid w:val="00664A58"/>
    <w:rsid w:val="00665C0D"/>
    <w:rsid w:val="00665D19"/>
    <w:rsid w:val="006719A9"/>
    <w:rsid w:val="0068424D"/>
    <w:rsid w:val="00687E2F"/>
    <w:rsid w:val="006931B0"/>
    <w:rsid w:val="006A0089"/>
    <w:rsid w:val="006A385C"/>
    <w:rsid w:val="006A7067"/>
    <w:rsid w:val="006B08A2"/>
    <w:rsid w:val="006B0DF4"/>
    <w:rsid w:val="006D486D"/>
    <w:rsid w:val="006D51CA"/>
    <w:rsid w:val="006E2680"/>
    <w:rsid w:val="006E4CB9"/>
    <w:rsid w:val="006E7F4D"/>
    <w:rsid w:val="006F140A"/>
    <w:rsid w:val="006F356E"/>
    <w:rsid w:val="006F7AA0"/>
    <w:rsid w:val="00713B81"/>
    <w:rsid w:val="00716FE8"/>
    <w:rsid w:val="0071738E"/>
    <w:rsid w:val="00717BAF"/>
    <w:rsid w:val="00722379"/>
    <w:rsid w:val="00733693"/>
    <w:rsid w:val="00734BC8"/>
    <w:rsid w:val="00741B06"/>
    <w:rsid w:val="00746F4D"/>
    <w:rsid w:val="0078067A"/>
    <w:rsid w:val="00782848"/>
    <w:rsid w:val="00784F09"/>
    <w:rsid w:val="007875E4"/>
    <w:rsid w:val="007908D2"/>
    <w:rsid w:val="00791AAC"/>
    <w:rsid w:val="00791D0F"/>
    <w:rsid w:val="00793369"/>
    <w:rsid w:val="00797F79"/>
    <w:rsid w:val="007A023B"/>
    <w:rsid w:val="007A1993"/>
    <w:rsid w:val="007A1FCF"/>
    <w:rsid w:val="007B1973"/>
    <w:rsid w:val="007B5855"/>
    <w:rsid w:val="007B7F60"/>
    <w:rsid w:val="007C2026"/>
    <w:rsid w:val="007D4D38"/>
    <w:rsid w:val="007E1A00"/>
    <w:rsid w:val="007E59B1"/>
    <w:rsid w:val="007F0C85"/>
    <w:rsid w:val="007F7EA9"/>
    <w:rsid w:val="0080183D"/>
    <w:rsid w:val="0080422A"/>
    <w:rsid w:val="0081243A"/>
    <w:rsid w:val="00816FF0"/>
    <w:rsid w:val="008211B8"/>
    <w:rsid w:val="00821C2F"/>
    <w:rsid w:val="00826D67"/>
    <w:rsid w:val="00831C6E"/>
    <w:rsid w:val="00836E55"/>
    <w:rsid w:val="00841BB7"/>
    <w:rsid w:val="00842D12"/>
    <w:rsid w:val="00846DEC"/>
    <w:rsid w:val="008507AF"/>
    <w:rsid w:val="00854513"/>
    <w:rsid w:val="00857092"/>
    <w:rsid w:val="00860260"/>
    <w:rsid w:val="0086125A"/>
    <w:rsid w:val="008703B4"/>
    <w:rsid w:val="00872D80"/>
    <w:rsid w:val="00874F78"/>
    <w:rsid w:val="00884B80"/>
    <w:rsid w:val="00886A05"/>
    <w:rsid w:val="008A021C"/>
    <w:rsid w:val="008A4C9A"/>
    <w:rsid w:val="008B4932"/>
    <w:rsid w:val="008C070E"/>
    <w:rsid w:val="008C07C6"/>
    <w:rsid w:val="008C600A"/>
    <w:rsid w:val="008D71A1"/>
    <w:rsid w:val="008E0D19"/>
    <w:rsid w:val="008E10B6"/>
    <w:rsid w:val="008E23B0"/>
    <w:rsid w:val="008E5B0C"/>
    <w:rsid w:val="008F13D2"/>
    <w:rsid w:val="008F1A4B"/>
    <w:rsid w:val="008F6C5D"/>
    <w:rsid w:val="00903D75"/>
    <w:rsid w:val="00910921"/>
    <w:rsid w:val="00913BC0"/>
    <w:rsid w:val="0091535E"/>
    <w:rsid w:val="00920F55"/>
    <w:rsid w:val="009230F3"/>
    <w:rsid w:val="00930CCF"/>
    <w:rsid w:val="009322C1"/>
    <w:rsid w:val="0093334C"/>
    <w:rsid w:val="00934D1C"/>
    <w:rsid w:val="009436B4"/>
    <w:rsid w:val="009447D6"/>
    <w:rsid w:val="00944B0F"/>
    <w:rsid w:val="0094621C"/>
    <w:rsid w:val="00957914"/>
    <w:rsid w:val="00964914"/>
    <w:rsid w:val="00965993"/>
    <w:rsid w:val="00976968"/>
    <w:rsid w:val="00976A70"/>
    <w:rsid w:val="009777ED"/>
    <w:rsid w:val="00980E9D"/>
    <w:rsid w:val="00985039"/>
    <w:rsid w:val="00985B04"/>
    <w:rsid w:val="00987D4E"/>
    <w:rsid w:val="009912A4"/>
    <w:rsid w:val="009947B4"/>
    <w:rsid w:val="00994C90"/>
    <w:rsid w:val="009A2A7E"/>
    <w:rsid w:val="009B01EF"/>
    <w:rsid w:val="009B5EA6"/>
    <w:rsid w:val="009B6F21"/>
    <w:rsid w:val="009B7487"/>
    <w:rsid w:val="009D1A40"/>
    <w:rsid w:val="009D569D"/>
    <w:rsid w:val="009F1740"/>
    <w:rsid w:val="009F177E"/>
    <w:rsid w:val="009F3D4B"/>
    <w:rsid w:val="00A02FFD"/>
    <w:rsid w:val="00A06D7C"/>
    <w:rsid w:val="00A071AC"/>
    <w:rsid w:val="00A11524"/>
    <w:rsid w:val="00A14D14"/>
    <w:rsid w:val="00A24EE7"/>
    <w:rsid w:val="00A25645"/>
    <w:rsid w:val="00A26661"/>
    <w:rsid w:val="00A329B5"/>
    <w:rsid w:val="00A3656B"/>
    <w:rsid w:val="00A37CE3"/>
    <w:rsid w:val="00A43B29"/>
    <w:rsid w:val="00A53122"/>
    <w:rsid w:val="00A5364F"/>
    <w:rsid w:val="00A53995"/>
    <w:rsid w:val="00A644B5"/>
    <w:rsid w:val="00A71ED5"/>
    <w:rsid w:val="00A72274"/>
    <w:rsid w:val="00A7416C"/>
    <w:rsid w:val="00A840D8"/>
    <w:rsid w:val="00A85331"/>
    <w:rsid w:val="00A90001"/>
    <w:rsid w:val="00A94F45"/>
    <w:rsid w:val="00A97613"/>
    <w:rsid w:val="00AA0E71"/>
    <w:rsid w:val="00AA71EC"/>
    <w:rsid w:val="00AB6D26"/>
    <w:rsid w:val="00AC2D7B"/>
    <w:rsid w:val="00AC44E2"/>
    <w:rsid w:val="00AD36BC"/>
    <w:rsid w:val="00AD3781"/>
    <w:rsid w:val="00AD6A8F"/>
    <w:rsid w:val="00AE0255"/>
    <w:rsid w:val="00AE1B37"/>
    <w:rsid w:val="00AF00FA"/>
    <w:rsid w:val="00AF2B02"/>
    <w:rsid w:val="00AF2E28"/>
    <w:rsid w:val="00B0747E"/>
    <w:rsid w:val="00B1467C"/>
    <w:rsid w:val="00B15415"/>
    <w:rsid w:val="00B259DC"/>
    <w:rsid w:val="00B27272"/>
    <w:rsid w:val="00B34E60"/>
    <w:rsid w:val="00B42C73"/>
    <w:rsid w:val="00B4393A"/>
    <w:rsid w:val="00B532C0"/>
    <w:rsid w:val="00B671B3"/>
    <w:rsid w:val="00B8064A"/>
    <w:rsid w:val="00B82A9D"/>
    <w:rsid w:val="00B85BCC"/>
    <w:rsid w:val="00B86132"/>
    <w:rsid w:val="00B93FF9"/>
    <w:rsid w:val="00B96CFB"/>
    <w:rsid w:val="00BA0713"/>
    <w:rsid w:val="00BA7D1A"/>
    <w:rsid w:val="00BB0574"/>
    <w:rsid w:val="00BB10B5"/>
    <w:rsid w:val="00BE4E15"/>
    <w:rsid w:val="00BE5230"/>
    <w:rsid w:val="00C04764"/>
    <w:rsid w:val="00C0545F"/>
    <w:rsid w:val="00C15E26"/>
    <w:rsid w:val="00C17FA3"/>
    <w:rsid w:val="00C219B1"/>
    <w:rsid w:val="00C21BF6"/>
    <w:rsid w:val="00C21F6C"/>
    <w:rsid w:val="00C27079"/>
    <w:rsid w:val="00C27A9C"/>
    <w:rsid w:val="00C318D6"/>
    <w:rsid w:val="00C31FA2"/>
    <w:rsid w:val="00C3417B"/>
    <w:rsid w:val="00C34D3C"/>
    <w:rsid w:val="00C404A7"/>
    <w:rsid w:val="00C40EB2"/>
    <w:rsid w:val="00C4348F"/>
    <w:rsid w:val="00C44587"/>
    <w:rsid w:val="00C4512B"/>
    <w:rsid w:val="00C510F8"/>
    <w:rsid w:val="00C535A7"/>
    <w:rsid w:val="00C56998"/>
    <w:rsid w:val="00C57C36"/>
    <w:rsid w:val="00C65B10"/>
    <w:rsid w:val="00C74393"/>
    <w:rsid w:val="00C83BC7"/>
    <w:rsid w:val="00C91FC5"/>
    <w:rsid w:val="00CA3CEF"/>
    <w:rsid w:val="00CA4AD1"/>
    <w:rsid w:val="00CA51D8"/>
    <w:rsid w:val="00CA6A46"/>
    <w:rsid w:val="00CB0753"/>
    <w:rsid w:val="00CB5945"/>
    <w:rsid w:val="00CB5EE7"/>
    <w:rsid w:val="00CC30C9"/>
    <w:rsid w:val="00CC31AD"/>
    <w:rsid w:val="00CC3EB3"/>
    <w:rsid w:val="00CC5610"/>
    <w:rsid w:val="00CD3D01"/>
    <w:rsid w:val="00CD6DBC"/>
    <w:rsid w:val="00CE2A04"/>
    <w:rsid w:val="00CE36FA"/>
    <w:rsid w:val="00CE465C"/>
    <w:rsid w:val="00CE7144"/>
    <w:rsid w:val="00CE72B2"/>
    <w:rsid w:val="00CE78D3"/>
    <w:rsid w:val="00CF506B"/>
    <w:rsid w:val="00D00071"/>
    <w:rsid w:val="00D004FF"/>
    <w:rsid w:val="00D0087D"/>
    <w:rsid w:val="00D057B8"/>
    <w:rsid w:val="00D23697"/>
    <w:rsid w:val="00D2373B"/>
    <w:rsid w:val="00D24B9A"/>
    <w:rsid w:val="00D26A50"/>
    <w:rsid w:val="00D303BD"/>
    <w:rsid w:val="00D306FB"/>
    <w:rsid w:val="00D30AB9"/>
    <w:rsid w:val="00D419C7"/>
    <w:rsid w:val="00D42465"/>
    <w:rsid w:val="00D5062A"/>
    <w:rsid w:val="00D50A48"/>
    <w:rsid w:val="00D515F8"/>
    <w:rsid w:val="00D5219E"/>
    <w:rsid w:val="00D52730"/>
    <w:rsid w:val="00D52F86"/>
    <w:rsid w:val="00D6441B"/>
    <w:rsid w:val="00D70654"/>
    <w:rsid w:val="00D73797"/>
    <w:rsid w:val="00D853FA"/>
    <w:rsid w:val="00D95FB2"/>
    <w:rsid w:val="00DA0F12"/>
    <w:rsid w:val="00DB05F0"/>
    <w:rsid w:val="00DB1678"/>
    <w:rsid w:val="00DB1B84"/>
    <w:rsid w:val="00DB5B9B"/>
    <w:rsid w:val="00DB6999"/>
    <w:rsid w:val="00DC1426"/>
    <w:rsid w:val="00DC3650"/>
    <w:rsid w:val="00DD5F22"/>
    <w:rsid w:val="00DD61BE"/>
    <w:rsid w:val="00DE6787"/>
    <w:rsid w:val="00DF11A5"/>
    <w:rsid w:val="00E11C52"/>
    <w:rsid w:val="00E128A1"/>
    <w:rsid w:val="00E21CEA"/>
    <w:rsid w:val="00E22DB9"/>
    <w:rsid w:val="00E26B75"/>
    <w:rsid w:val="00E27197"/>
    <w:rsid w:val="00E43639"/>
    <w:rsid w:val="00E62B7C"/>
    <w:rsid w:val="00E637D1"/>
    <w:rsid w:val="00E64271"/>
    <w:rsid w:val="00E67B63"/>
    <w:rsid w:val="00E753BD"/>
    <w:rsid w:val="00E81D7F"/>
    <w:rsid w:val="00EA03DE"/>
    <w:rsid w:val="00EA490D"/>
    <w:rsid w:val="00EA7741"/>
    <w:rsid w:val="00EB1ECE"/>
    <w:rsid w:val="00EB3236"/>
    <w:rsid w:val="00EC1E25"/>
    <w:rsid w:val="00EC36F2"/>
    <w:rsid w:val="00ED24DE"/>
    <w:rsid w:val="00ED31B8"/>
    <w:rsid w:val="00ED550F"/>
    <w:rsid w:val="00ED6C9A"/>
    <w:rsid w:val="00ED7279"/>
    <w:rsid w:val="00EE0ED2"/>
    <w:rsid w:val="00EF1053"/>
    <w:rsid w:val="00EF1BF7"/>
    <w:rsid w:val="00F04241"/>
    <w:rsid w:val="00F05B7B"/>
    <w:rsid w:val="00F06935"/>
    <w:rsid w:val="00F10274"/>
    <w:rsid w:val="00F1520E"/>
    <w:rsid w:val="00F21952"/>
    <w:rsid w:val="00F21A20"/>
    <w:rsid w:val="00F23A6A"/>
    <w:rsid w:val="00F349F1"/>
    <w:rsid w:val="00F42C2D"/>
    <w:rsid w:val="00F43997"/>
    <w:rsid w:val="00F47ABE"/>
    <w:rsid w:val="00F47C13"/>
    <w:rsid w:val="00F53DDF"/>
    <w:rsid w:val="00F55AED"/>
    <w:rsid w:val="00F55D47"/>
    <w:rsid w:val="00F62344"/>
    <w:rsid w:val="00F71BD0"/>
    <w:rsid w:val="00F728E1"/>
    <w:rsid w:val="00F770FA"/>
    <w:rsid w:val="00F806EC"/>
    <w:rsid w:val="00F85A1A"/>
    <w:rsid w:val="00F9181E"/>
    <w:rsid w:val="00FA448A"/>
    <w:rsid w:val="00FB161B"/>
    <w:rsid w:val="00FB6D7A"/>
    <w:rsid w:val="00FB72C6"/>
    <w:rsid w:val="00FC2A13"/>
    <w:rsid w:val="00FD0EDF"/>
    <w:rsid w:val="00FD5672"/>
    <w:rsid w:val="00FD6423"/>
    <w:rsid w:val="00FE65AF"/>
    <w:rsid w:val="00FF13FB"/>
    <w:rsid w:val="00FF1B0D"/>
    <w:rsid w:val="00FF2E7C"/>
    <w:rsid w:val="00FF6B52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97826"/>
  <w15:docId w15:val="{0C66F07F-5BBF-4487-AAAE-7336F95D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6F2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15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6F28"/>
    <w:rPr>
      <w:rFonts w:cs="Times New Roman"/>
    </w:rPr>
  </w:style>
  <w:style w:type="paragraph" w:styleId="a5">
    <w:name w:val="footer"/>
    <w:basedOn w:val="a"/>
    <w:link w:val="a6"/>
    <w:uiPriority w:val="99"/>
    <w:rsid w:val="0015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6F28"/>
    <w:rPr>
      <w:rFonts w:cs="Times New Roman"/>
    </w:rPr>
  </w:style>
  <w:style w:type="paragraph" w:styleId="a7">
    <w:name w:val="Body Text"/>
    <w:basedOn w:val="a"/>
    <w:link w:val="a8"/>
    <w:uiPriority w:val="99"/>
    <w:rsid w:val="00156F28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156F2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"/>
    <w:basedOn w:val="a"/>
    <w:uiPriority w:val="99"/>
    <w:rsid w:val="00156F28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iPriority w:val="99"/>
    <w:rsid w:val="00156F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56F28"/>
    <w:rPr>
      <w:rFonts w:cs="Times New Roman"/>
    </w:rPr>
  </w:style>
  <w:style w:type="paragraph" w:styleId="aa">
    <w:name w:val="List Paragraph"/>
    <w:basedOn w:val="a"/>
    <w:link w:val="ab"/>
    <w:uiPriority w:val="99"/>
    <w:qFormat/>
    <w:rsid w:val="00156F28"/>
    <w:pPr>
      <w:ind w:left="720"/>
      <w:contextualSpacing/>
    </w:pPr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15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56F28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156F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">
    <w:name w:val="краткое содержание"/>
    <w:basedOn w:val="a"/>
    <w:next w:val="a"/>
    <w:uiPriority w:val="99"/>
    <w:rsid w:val="00156F28"/>
    <w:pPr>
      <w:keepNext/>
      <w:keepLines/>
      <w:spacing w:after="480" w:line="240" w:lineRule="auto"/>
      <w:ind w:right="5557"/>
      <w:jc w:val="both"/>
    </w:pPr>
    <w:rPr>
      <w:rFonts w:ascii="Times New Roman" w:hAnsi="Times New Roman" w:cs="Times New Roman"/>
      <w:b/>
      <w:sz w:val="28"/>
      <w:szCs w:val="20"/>
    </w:rPr>
  </w:style>
  <w:style w:type="paragraph" w:customStyle="1" w:styleId="1c">
    <w:name w:val="Абзац1 c отступом"/>
    <w:basedOn w:val="a"/>
    <w:uiPriority w:val="99"/>
    <w:rsid w:val="00156F28"/>
    <w:pPr>
      <w:widowControl w:val="0"/>
      <w:spacing w:after="60" w:line="360" w:lineRule="exact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Абзац списка Знак"/>
    <w:link w:val="aa"/>
    <w:uiPriority w:val="99"/>
    <w:locked/>
    <w:rsid w:val="00156F28"/>
    <w:rPr>
      <w:rFonts w:ascii="Calibri" w:hAnsi="Calibri"/>
    </w:rPr>
  </w:style>
  <w:style w:type="character" w:customStyle="1" w:styleId="fontstyle01">
    <w:name w:val="fontstyle01"/>
    <w:basedOn w:val="a0"/>
    <w:uiPriority w:val="99"/>
    <w:rsid w:val="00156F28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Subtitle"/>
    <w:basedOn w:val="a"/>
    <w:link w:val="af1"/>
    <w:qFormat/>
    <w:locked/>
    <w:rsid w:val="00934D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934D1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dunyasheva</dc:creator>
  <cp:keywords/>
  <dc:description/>
  <cp:lastModifiedBy>User</cp:lastModifiedBy>
  <cp:revision>70</cp:revision>
  <cp:lastPrinted>2024-11-22T08:54:00Z</cp:lastPrinted>
  <dcterms:created xsi:type="dcterms:W3CDTF">2023-10-31T12:06:00Z</dcterms:created>
  <dcterms:modified xsi:type="dcterms:W3CDTF">2024-11-22T08:55:00Z</dcterms:modified>
</cp:coreProperties>
</file>